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48CB" w:rsidRPr="00F42395" w:rsidRDefault="00F61E5B" w:rsidP="00AE3572">
      <w:pPr>
        <w:pBdr>
          <w:bottom w:val="single" w:sz="12" w:space="1" w:color="auto"/>
        </w:pBdr>
        <w:jc w:val="center"/>
        <w:outlineLvl w:val="0"/>
        <w:rPr>
          <w:rFonts w:ascii="Baskerville Old Face" w:hAnsi="Baskerville Old Face"/>
          <w:sz w:val="72"/>
          <w:szCs w:val="72"/>
        </w:rPr>
      </w:pPr>
      <w:r w:rsidRPr="00F42395">
        <w:rPr>
          <w:rFonts w:ascii="Baskerville Old Face" w:hAnsi="Baskerville Old Face"/>
          <w:sz w:val="72"/>
          <w:szCs w:val="72"/>
        </w:rPr>
        <w:t>Annual</w:t>
      </w:r>
      <w:r w:rsidR="001B4BF7" w:rsidRPr="00F42395">
        <w:rPr>
          <w:rFonts w:ascii="Baskerville Old Face" w:hAnsi="Baskerville Old Face"/>
          <w:sz w:val="72"/>
          <w:szCs w:val="72"/>
        </w:rPr>
        <w:t xml:space="preserve"> Crime Report</w:t>
      </w:r>
    </w:p>
    <w:p w:rsidR="00CA48CB" w:rsidRPr="00F42395" w:rsidRDefault="008B6B56" w:rsidP="00AE3572">
      <w:pPr>
        <w:jc w:val="center"/>
        <w:outlineLvl w:val="0"/>
        <w:rPr>
          <w:rFonts w:ascii="Baskerville Old Face" w:hAnsi="Baskerville Old Face"/>
          <w:sz w:val="72"/>
          <w:szCs w:val="72"/>
        </w:rPr>
      </w:pPr>
      <w:r w:rsidRPr="00F42395">
        <w:rPr>
          <w:rFonts w:ascii="Baskerville Old Face" w:hAnsi="Baskerville Old Face"/>
          <w:sz w:val="72"/>
          <w:szCs w:val="72"/>
        </w:rPr>
        <w:t xml:space="preserve">For </w:t>
      </w:r>
      <w:r w:rsidR="00391E44" w:rsidRPr="00F42395">
        <w:rPr>
          <w:rFonts w:ascii="Baskerville Old Face" w:hAnsi="Baskerville Old Face"/>
          <w:sz w:val="72"/>
          <w:szCs w:val="72"/>
        </w:rPr>
        <w:t>20</w:t>
      </w:r>
      <w:r w:rsidR="008976B4" w:rsidRPr="00F42395">
        <w:rPr>
          <w:rFonts w:ascii="Baskerville Old Face" w:hAnsi="Baskerville Old Face"/>
          <w:sz w:val="72"/>
          <w:szCs w:val="72"/>
        </w:rPr>
        <w:t>16</w:t>
      </w:r>
    </w:p>
    <w:p w:rsidR="0086518B" w:rsidRDefault="0086518B" w:rsidP="00BA56A3">
      <w:pPr>
        <w:jc w:val="center"/>
        <w:rPr>
          <w:b/>
          <w:sz w:val="28"/>
          <w:szCs w:val="28"/>
        </w:rPr>
      </w:pPr>
      <w:bookmarkStart w:id="0" w:name="_GoBack"/>
      <w:bookmarkEnd w:id="0"/>
    </w:p>
    <w:p w:rsidR="0086518B" w:rsidRDefault="0086518B" w:rsidP="00BA56A3">
      <w:pPr>
        <w:jc w:val="center"/>
        <w:rPr>
          <w:b/>
          <w:sz w:val="28"/>
          <w:szCs w:val="28"/>
        </w:rPr>
      </w:pPr>
    </w:p>
    <w:p w:rsidR="0086518B" w:rsidRDefault="0086518B" w:rsidP="00BA56A3">
      <w:pPr>
        <w:jc w:val="center"/>
        <w:rPr>
          <w:b/>
          <w:sz w:val="28"/>
          <w:szCs w:val="28"/>
        </w:rPr>
      </w:pPr>
    </w:p>
    <w:p w:rsidR="0086518B" w:rsidRDefault="00F42395" w:rsidP="00BA56A3">
      <w:pPr>
        <w:jc w:val="center"/>
        <w:rPr>
          <w:b/>
          <w:sz w:val="28"/>
          <w:szCs w:val="28"/>
        </w:rPr>
      </w:pPr>
      <w:r>
        <w:rPr>
          <w:b/>
          <w:noProof/>
          <w:sz w:val="28"/>
          <w:szCs w:val="28"/>
        </w:rPr>
        <w:drawing>
          <wp:inline distT="0" distB="0" distL="0" distR="0">
            <wp:extent cx="4572638" cy="574437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Patch.png"/>
                    <pic:cNvPicPr/>
                  </pic:nvPicPr>
                  <pic:blipFill>
                    <a:blip r:embed="rId9">
                      <a:extLst>
                        <a:ext uri="{28A0092B-C50C-407E-A947-70E740481C1C}">
                          <a14:useLocalDpi xmlns:a14="http://schemas.microsoft.com/office/drawing/2010/main" val="0"/>
                        </a:ext>
                      </a:extLst>
                    </a:blip>
                    <a:stretch>
                      <a:fillRect/>
                    </a:stretch>
                  </pic:blipFill>
                  <pic:spPr>
                    <a:xfrm>
                      <a:off x="0" y="0"/>
                      <a:ext cx="4572638" cy="5744377"/>
                    </a:xfrm>
                    <a:prstGeom prst="rect">
                      <a:avLst/>
                    </a:prstGeom>
                  </pic:spPr>
                </pic:pic>
              </a:graphicData>
            </a:graphic>
          </wp:inline>
        </w:drawing>
      </w:r>
    </w:p>
    <w:p w:rsidR="00CA48CB" w:rsidRDefault="00CA48CB" w:rsidP="00BA56A3">
      <w:pPr>
        <w:jc w:val="center"/>
        <w:rPr>
          <w:b/>
          <w:sz w:val="28"/>
          <w:szCs w:val="28"/>
        </w:rPr>
      </w:pPr>
    </w:p>
    <w:p w:rsidR="00CA48CB" w:rsidRDefault="00CA48CB" w:rsidP="00BA56A3">
      <w:pPr>
        <w:jc w:val="center"/>
        <w:rPr>
          <w:b/>
          <w:sz w:val="28"/>
          <w:szCs w:val="28"/>
        </w:rPr>
      </w:pPr>
    </w:p>
    <w:p w:rsidR="00CA48CB" w:rsidRDefault="00CA48CB" w:rsidP="00BA56A3">
      <w:pPr>
        <w:jc w:val="center"/>
        <w:rPr>
          <w:b/>
          <w:sz w:val="28"/>
          <w:szCs w:val="28"/>
        </w:rPr>
      </w:pPr>
    </w:p>
    <w:p w:rsidR="00CA48CB" w:rsidRDefault="00CA48CB" w:rsidP="00BA56A3">
      <w:pPr>
        <w:jc w:val="center"/>
        <w:rPr>
          <w:b/>
          <w:sz w:val="28"/>
          <w:szCs w:val="28"/>
        </w:rPr>
      </w:pPr>
    </w:p>
    <w:p w:rsidR="007C398D" w:rsidRDefault="007C398D" w:rsidP="00BA56A3">
      <w:pPr>
        <w:jc w:val="center"/>
        <w:rPr>
          <w:b/>
          <w:sz w:val="28"/>
          <w:szCs w:val="28"/>
        </w:rPr>
      </w:pPr>
    </w:p>
    <w:p w:rsidR="00CA48CB" w:rsidRDefault="0008695B" w:rsidP="00AE3572">
      <w:pPr>
        <w:jc w:val="center"/>
        <w:outlineLvl w:val="0"/>
        <w:rPr>
          <w:b/>
          <w:sz w:val="36"/>
          <w:szCs w:val="36"/>
        </w:rPr>
      </w:pPr>
      <w:r>
        <w:rPr>
          <w:b/>
          <w:sz w:val="36"/>
          <w:szCs w:val="36"/>
        </w:rPr>
        <w:t xml:space="preserve">Table of </w:t>
      </w:r>
      <w:r w:rsidR="000E596A">
        <w:rPr>
          <w:b/>
          <w:sz w:val="36"/>
          <w:szCs w:val="36"/>
        </w:rPr>
        <w:t>Contents</w:t>
      </w:r>
    </w:p>
    <w:p w:rsidR="000E596A" w:rsidRDefault="000E596A" w:rsidP="000E596A">
      <w:pPr>
        <w:jc w:val="center"/>
        <w:rPr>
          <w:b/>
          <w:sz w:val="36"/>
          <w:szCs w:val="36"/>
        </w:rPr>
      </w:pPr>
    </w:p>
    <w:p w:rsidR="000E596A" w:rsidRDefault="000E596A" w:rsidP="000E596A">
      <w:pPr>
        <w:jc w:val="center"/>
        <w:rPr>
          <w:b/>
          <w:sz w:val="36"/>
          <w:szCs w:val="36"/>
        </w:rPr>
      </w:pPr>
    </w:p>
    <w:tbl>
      <w:tblPr>
        <w:tblW w:w="8050" w:type="dxa"/>
        <w:jc w:val="center"/>
        <w:tblInd w:w="93" w:type="dxa"/>
        <w:tblLook w:val="0000" w:firstRow="0" w:lastRow="0" w:firstColumn="0" w:lastColumn="0" w:noHBand="0" w:noVBand="0"/>
      </w:tblPr>
      <w:tblGrid>
        <w:gridCol w:w="6740"/>
        <w:gridCol w:w="1310"/>
      </w:tblGrid>
      <w:tr w:rsidR="001C3C75" w:rsidTr="0086518B">
        <w:trPr>
          <w:trHeight w:val="375"/>
          <w:jc w:val="center"/>
        </w:trPr>
        <w:tc>
          <w:tcPr>
            <w:tcW w:w="6740" w:type="dxa"/>
            <w:tcBorders>
              <w:top w:val="single" w:sz="8" w:space="0" w:color="auto"/>
              <w:left w:val="single" w:sz="8" w:space="0" w:color="auto"/>
              <w:bottom w:val="single" w:sz="8" w:space="0" w:color="auto"/>
              <w:right w:val="single" w:sz="4" w:space="0" w:color="auto"/>
            </w:tcBorders>
            <w:shd w:val="clear" w:color="auto" w:fill="C4BC96" w:themeFill="background2" w:themeFillShade="BF"/>
            <w:noWrap/>
            <w:vAlign w:val="bottom"/>
          </w:tcPr>
          <w:p w:rsidR="001C3C75" w:rsidRDefault="001C3C75" w:rsidP="00A17897">
            <w:pPr>
              <w:jc w:val="center"/>
              <w:rPr>
                <w:rFonts w:ascii="Arial" w:hAnsi="Arial" w:cs="Arial"/>
                <w:b/>
                <w:bCs/>
                <w:sz w:val="28"/>
                <w:szCs w:val="28"/>
              </w:rPr>
            </w:pPr>
            <w:r>
              <w:rPr>
                <w:rFonts w:ascii="Arial" w:hAnsi="Arial" w:cs="Arial"/>
                <w:b/>
                <w:bCs/>
                <w:sz w:val="28"/>
                <w:szCs w:val="28"/>
              </w:rPr>
              <w:t>Topic</w:t>
            </w:r>
          </w:p>
        </w:tc>
        <w:tc>
          <w:tcPr>
            <w:tcW w:w="1310" w:type="dxa"/>
            <w:tcBorders>
              <w:top w:val="single" w:sz="8" w:space="0" w:color="auto"/>
              <w:left w:val="nil"/>
              <w:bottom w:val="single" w:sz="8" w:space="0" w:color="auto"/>
              <w:right w:val="single" w:sz="8" w:space="0" w:color="auto"/>
            </w:tcBorders>
            <w:shd w:val="clear" w:color="auto" w:fill="C4BC96" w:themeFill="background2" w:themeFillShade="BF"/>
            <w:noWrap/>
            <w:vAlign w:val="bottom"/>
          </w:tcPr>
          <w:p w:rsidR="001C3C75" w:rsidRDefault="001C3C75" w:rsidP="00A17897">
            <w:pPr>
              <w:jc w:val="center"/>
              <w:rPr>
                <w:rFonts w:ascii="Arial" w:hAnsi="Arial" w:cs="Arial"/>
                <w:b/>
                <w:bCs/>
                <w:sz w:val="28"/>
                <w:szCs w:val="28"/>
              </w:rPr>
            </w:pPr>
            <w:r>
              <w:rPr>
                <w:rFonts w:ascii="Arial" w:hAnsi="Arial" w:cs="Arial"/>
                <w:b/>
                <w:bCs/>
                <w:sz w:val="28"/>
                <w:szCs w:val="28"/>
              </w:rPr>
              <w:t>Page #</w:t>
            </w:r>
          </w:p>
        </w:tc>
      </w:tr>
      <w:tr w:rsidR="002B5110">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2B5110" w:rsidRPr="0023151E" w:rsidRDefault="002B5110" w:rsidP="00A17897">
            <w:pPr>
              <w:rPr>
                <w:rFonts w:ascii="Arial" w:hAnsi="Arial" w:cs="Arial"/>
                <w:b/>
                <w:bCs/>
                <w:sz w:val="28"/>
                <w:szCs w:val="28"/>
              </w:rPr>
            </w:pPr>
            <w:r w:rsidRPr="0023151E">
              <w:rPr>
                <w:rFonts w:ascii="Arial" w:hAnsi="Arial" w:cs="Arial"/>
                <w:b/>
                <w:bCs/>
                <w:sz w:val="28"/>
                <w:szCs w:val="28"/>
              </w:rPr>
              <w:t xml:space="preserve">Executive Summary </w:t>
            </w:r>
          </w:p>
        </w:tc>
        <w:tc>
          <w:tcPr>
            <w:tcW w:w="1310" w:type="dxa"/>
            <w:tcBorders>
              <w:top w:val="nil"/>
              <w:left w:val="nil"/>
              <w:bottom w:val="single" w:sz="4" w:space="0" w:color="auto"/>
              <w:right w:val="single" w:sz="4" w:space="0" w:color="auto"/>
            </w:tcBorders>
            <w:shd w:val="clear" w:color="auto" w:fill="auto"/>
            <w:noWrap/>
            <w:vAlign w:val="bottom"/>
          </w:tcPr>
          <w:p w:rsidR="002B5110" w:rsidRDefault="002511FB" w:rsidP="001C3C75">
            <w:pPr>
              <w:jc w:val="center"/>
              <w:rPr>
                <w:rFonts w:ascii="Arial" w:hAnsi="Arial" w:cs="Arial"/>
                <w:sz w:val="28"/>
                <w:szCs w:val="28"/>
              </w:rPr>
            </w:pPr>
            <w:r>
              <w:rPr>
                <w:rFonts w:ascii="Arial" w:hAnsi="Arial" w:cs="Arial"/>
                <w:sz w:val="28"/>
                <w:szCs w:val="28"/>
              </w:rPr>
              <w:t>3</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b/>
                <w:bCs/>
                <w:sz w:val="28"/>
                <w:szCs w:val="28"/>
              </w:rPr>
            </w:pPr>
            <w:r>
              <w:rPr>
                <w:rFonts w:ascii="Arial" w:hAnsi="Arial" w:cs="Arial"/>
                <w:b/>
                <w:bCs/>
                <w:sz w:val="28"/>
                <w:szCs w:val="28"/>
              </w:rPr>
              <w:t>Introduction</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1C3C75">
            <w:pPr>
              <w:jc w:val="center"/>
              <w:rPr>
                <w:rFonts w:ascii="Arial" w:hAnsi="Arial" w:cs="Arial"/>
                <w:sz w:val="28"/>
                <w:szCs w:val="28"/>
              </w:rPr>
            </w:pPr>
            <w:r>
              <w:rPr>
                <w:rFonts w:ascii="Arial" w:hAnsi="Arial" w:cs="Arial"/>
                <w:sz w:val="28"/>
                <w:szCs w:val="28"/>
              </w:rPr>
              <w:t>4</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Data Source</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A17897">
            <w:pPr>
              <w:jc w:val="center"/>
              <w:rPr>
                <w:rFonts w:ascii="Arial" w:hAnsi="Arial" w:cs="Arial"/>
                <w:sz w:val="28"/>
                <w:szCs w:val="28"/>
              </w:rPr>
            </w:pPr>
            <w:r>
              <w:rPr>
                <w:rFonts w:ascii="Arial" w:hAnsi="Arial" w:cs="Arial"/>
                <w:sz w:val="28"/>
                <w:szCs w:val="28"/>
              </w:rPr>
              <w:t>4</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w:t>
            </w:r>
            <w:r w:rsidR="00497B7E">
              <w:rPr>
                <w:rFonts w:ascii="Arial" w:hAnsi="Arial" w:cs="Arial"/>
                <w:sz w:val="28"/>
                <w:szCs w:val="28"/>
              </w:rPr>
              <w:t>Group A Crimes</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A17897">
            <w:pPr>
              <w:jc w:val="center"/>
              <w:rPr>
                <w:rFonts w:ascii="Arial" w:hAnsi="Arial" w:cs="Arial"/>
                <w:sz w:val="28"/>
                <w:szCs w:val="28"/>
              </w:rPr>
            </w:pPr>
            <w:r>
              <w:rPr>
                <w:rFonts w:ascii="Arial" w:hAnsi="Arial" w:cs="Arial"/>
                <w:sz w:val="28"/>
                <w:szCs w:val="28"/>
              </w:rPr>
              <w:t>5</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w:t>
            </w:r>
            <w:r w:rsidR="00497B7E">
              <w:rPr>
                <w:rFonts w:ascii="Arial" w:hAnsi="Arial" w:cs="Arial"/>
                <w:sz w:val="28"/>
                <w:szCs w:val="28"/>
              </w:rPr>
              <w:t>Factors Affecting Crime</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497B7E" w:rsidP="00A17897">
            <w:pPr>
              <w:jc w:val="center"/>
              <w:rPr>
                <w:rFonts w:ascii="Arial" w:hAnsi="Arial" w:cs="Arial"/>
                <w:sz w:val="28"/>
                <w:szCs w:val="28"/>
              </w:rPr>
            </w:pPr>
            <w:r>
              <w:rPr>
                <w:rFonts w:ascii="Arial" w:hAnsi="Arial" w:cs="Arial"/>
                <w:sz w:val="28"/>
                <w:szCs w:val="28"/>
              </w:rPr>
              <w:t>6</w:t>
            </w:r>
          </w:p>
        </w:tc>
      </w:tr>
      <w:tr w:rsidR="00497B7E">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497B7E" w:rsidRDefault="00497B7E" w:rsidP="00A17897">
            <w:pPr>
              <w:rPr>
                <w:rFonts w:ascii="Arial" w:hAnsi="Arial" w:cs="Arial"/>
                <w:sz w:val="28"/>
                <w:szCs w:val="28"/>
              </w:rPr>
            </w:pPr>
            <w:r>
              <w:rPr>
                <w:rFonts w:ascii="Arial" w:hAnsi="Arial" w:cs="Arial"/>
                <w:sz w:val="28"/>
                <w:szCs w:val="28"/>
              </w:rPr>
              <w:t xml:space="preserve">     Intended Use</w:t>
            </w:r>
          </w:p>
        </w:tc>
        <w:tc>
          <w:tcPr>
            <w:tcW w:w="1310" w:type="dxa"/>
            <w:tcBorders>
              <w:top w:val="nil"/>
              <w:left w:val="nil"/>
              <w:bottom w:val="single" w:sz="4" w:space="0" w:color="auto"/>
              <w:right w:val="single" w:sz="4" w:space="0" w:color="auto"/>
            </w:tcBorders>
            <w:shd w:val="clear" w:color="auto" w:fill="auto"/>
            <w:noWrap/>
            <w:vAlign w:val="bottom"/>
          </w:tcPr>
          <w:p w:rsidR="00497B7E" w:rsidRDefault="00497B7E" w:rsidP="00A17897">
            <w:pPr>
              <w:jc w:val="center"/>
              <w:rPr>
                <w:rFonts w:ascii="Arial" w:hAnsi="Arial" w:cs="Arial"/>
                <w:sz w:val="28"/>
                <w:szCs w:val="28"/>
              </w:rPr>
            </w:pPr>
            <w:r>
              <w:rPr>
                <w:rFonts w:ascii="Arial" w:hAnsi="Arial" w:cs="Arial"/>
                <w:sz w:val="28"/>
                <w:szCs w:val="28"/>
              </w:rPr>
              <w:t>6</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b/>
                <w:bCs/>
                <w:sz w:val="28"/>
                <w:szCs w:val="28"/>
              </w:rPr>
            </w:pPr>
            <w:r>
              <w:rPr>
                <w:rFonts w:ascii="Arial" w:hAnsi="Arial" w:cs="Arial"/>
                <w:b/>
                <w:bCs/>
                <w:sz w:val="28"/>
                <w:szCs w:val="28"/>
              </w:rPr>
              <w:t>Violent Crime</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497B7E" w:rsidP="00A17897">
            <w:pPr>
              <w:jc w:val="center"/>
              <w:rPr>
                <w:rFonts w:ascii="Arial" w:hAnsi="Arial" w:cs="Arial"/>
                <w:sz w:val="28"/>
                <w:szCs w:val="28"/>
              </w:rPr>
            </w:pPr>
            <w:r>
              <w:rPr>
                <w:rFonts w:ascii="Arial" w:hAnsi="Arial" w:cs="Arial"/>
                <w:sz w:val="28"/>
                <w:szCs w:val="28"/>
              </w:rPr>
              <w:t>7</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Murder and Non-negligent Homicide</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876E31" w:rsidP="00A17897">
            <w:pPr>
              <w:jc w:val="center"/>
              <w:rPr>
                <w:rFonts w:ascii="Arial" w:hAnsi="Arial" w:cs="Arial"/>
                <w:sz w:val="28"/>
                <w:szCs w:val="28"/>
              </w:rPr>
            </w:pPr>
            <w:r>
              <w:rPr>
                <w:rFonts w:ascii="Arial" w:hAnsi="Arial" w:cs="Arial"/>
                <w:sz w:val="28"/>
                <w:szCs w:val="28"/>
              </w:rPr>
              <w:t>9</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w:t>
            </w:r>
            <w:r w:rsidR="0002482F">
              <w:rPr>
                <w:rFonts w:ascii="Arial" w:hAnsi="Arial" w:cs="Arial"/>
                <w:sz w:val="28"/>
                <w:szCs w:val="28"/>
              </w:rPr>
              <w:t xml:space="preserve">Forcible </w:t>
            </w:r>
            <w:r>
              <w:rPr>
                <w:rFonts w:ascii="Arial" w:hAnsi="Arial" w:cs="Arial"/>
                <w:sz w:val="28"/>
                <w:szCs w:val="28"/>
              </w:rPr>
              <w:t>Rape</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876E31" w:rsidP="00A17897">
            <w:pPr>
              <w:jc w:val="center"/>
              <w:rPr>
                <w:rFonts w:ascii="Arial" w:hAnsi="Arial" w:cs="Arial"/>
                <w:sz w:val="28"/>
                <w:szCs w:val="28"/>
              </w:rPr>
            </w:pPr>
            <w:r>
              <w:rPr>
                <w:rFonts w:ascii="Arial" w:hAnsi="Arial" w:cs="Arial"/>
                <w:sz w:val="28"/>
                <w:szCs w:val="28"/>
              </w:rPr>
              <w:t>10</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Robbery</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A17897">
            <w:pPr>
              <w:jc w:val="center"/>
              <w:rPr>
                <w:rFonts w:ascii="Arial" w:hAnsi="Arial" w:cs="Arial"/>
                <w:sz w:val="28"/>
                <w:szCs w:val="28"/>
              </w:rPr>
            </w:pPr>
            <w:r>
              <w:rPr>
                <w:rFonts w:ascii="Arial" w:hAnsi="Arial" w:cs="Arial"/>
                <w:sz w:val="28"/>
                <w:szCs w:val="28"/>
              </w:rPr>
              <w:t>1</w:t>
            </w:r>
            <w:r w:rsidR="00876E31">
              <w:rPr>
                <w:rFonts w:ascii="Arial" w:hAnsi="Arial" w:cs="Arial"/>
                <w:sz w:val="28"/>
                <w:szCs w:val="28"/>
              </w:rPr>
              <w:t>1</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Aggravated Assault</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E037A9">
            <w:pPr>
              <w:jc w:val="center"/>
              <w:rPr>
                <w:rFonts w:ascii="Arial" w:hAnsi="Arial" w:cs="Arial"/>
                <w:sz w:val="28"/>
                <w:szCs w:val="28"/>
              </w:rPr>
            </w:pPr>
            <w:r>
              <w:rPr>
                <w:rFonts w:ascii="Arial" w:hAnsi="Arial" w:cs="Arial"/>
                <w:sz w:val="28"/>
                <w:szCs w:val="28"/>
              </w:rPr>
              <w:t>1</w:t>
            </w:r>
            <w:r w:rsidR="00876E31">
              <w:rPr>
                <w:rFonts w:ascii="Arial" w:hAnsi="Arial" w:cs="Arial"/>
                <w:sz w:val="28"/>
                <w:szCs w:val="28"/>
              </w:rPr>
              <w:t>2</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Division of Assaults</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A17897">
            <w:pPr>
              <w:jc w:val="center"/>
              <w:rPr>
                <w:rFonts w:ascii="Arial" w:hAnsi="Arial" w:cs="Arial"/>
                <w:sz w:val="28"/>
                <w:szCs w:val="28"/>
              </w:rPr>
            </w:pPr>
            <w:r>
              <w:rPr>
                <w:rFonts w:ascii="Arial" w:hAnsi="Arial" w:cs="Arial"/>
                <w:sz w:val="28"/>
                <w:szCs w:val="28"/>
              </w:rPr>
              <w:t>1</w:t>
            </w:r>
            <w:r w:rsidR="00876E31">
              <w:rPr>
                <w:rFonts w:ascii="Arial" w:hAnsi="Arial" w:cs="Arial"/>
                <w:sz w:val="28"/>
                <w:szCs w:val="28"/>
              </w:rPr>
              <w:t>3</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b/>
                <w:bCs/>
                <w:sz w:val="28"/>
                <w:szCs w:val="28"/>
              </w:rPr>
            </w:pPr>
            <w:r>
              <w:rPr>
                <w:rFonts w:ascii="Arial" w:hAnsi="Arial" w:cs="Arial"/>
                <w:b/>
                <w:bCs/>
                <w:sz w:val="28"/>
                <w:szCs w:val="28"/>
              </w:rPr>
              <w:t>Property Crime</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A17897">
            <w:pPr>
              <w:jc w:val="center"/>
              <w:rPr>
                <w:rFonts w:ascii="Arial" w:hAnsi="Arial" w:cs="Arial"/>
                <w:sz w:val="28"/>
                <w:szCs w:val="28"/>
              </w:rPr>
            </w:pPr>
            <w:r>
              <w:rPr>
                <w:rFonts w:ascii="Arial" w:hAnsi="Arial" w:cs="Arial"/>
                <w:sz w:val="28"/>
                <w:szCs w:val="28"/>
              </w:rPr>
              <w:t>1</w:t>
            </w:r>
            <w:r w:rsidR="00876E31">
              <w:rPr>
                <w:rFonts w:ascii="Arial" w:hAnsi="Arial" w:cs="Arial"/>
                <w:sz w:val="28"/>
                <w:szCs w:val="28"/>
              </w:rPr>
              <w:t>7</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Burglary</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A17897">
            <w:pPr>
              <w:jc w:val="center"/>
              <w:rPr>
                <w:rFonts w:ascii="Arial" w:hAnsi="Arial" w:cs="Arial"/>
                <w:sz w:val="28"/>
                <w:szCs w:val="28"/>
              </w:rPr>
            </w:pPr>
            <w:r>
              <w:rPr>
                <w:rFonts w:ascii="Arial" w:hAnsi="Arial" w:cs="Arial"/>
                <w:sz w:val="28"/>
                <w:szCs w:val="28"/>
              </w:rPr>
              <w:t>1</w:t>
            </w:r>
            <w:r w:rsidR="00876E31">
              <w:rPr>
                <w:rFonts w:ascii="Arial" w:hAnsi="Arial" w:cs="Arial"/>
                <w:sz w:val="28"/>
                <w:szCs w:val="28"/>
              </w:rPr>
              <w:t>9</w:t>
            </w:r>
          </w:p>
        </w:tc>
      </w:tr>
      <w:tr w:rsid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Larceny - Thefts</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876E31" w:rsidP="00A17897">
            <w:pPr>
              <w:jc w:val="center"/>
              <w:rPr>
                <w:rFonts w:ascii="Arial" w:hAnsi="Arial" w:cs="Arial"/>
                <w:sz w:val="28"/>
                <w:szCs w:val="28"/>
              </w:rPr>
            </w:pPr>
            <w:r>
              <w:rPr>
                <w:rFonts w:ascii="Arial" w:hAnsi="Arial" w:cs="Arial"/>
                <w:sz w:val="28"/>
                <w:szCs w:val="28"/>
              </w:rPr>
              <w:t>20</w:t>
            </w:r>
          </w:p>
        </w:tc>
      </w:tr>
      <w:tr w:rsidR="00524BD4">
        <w:trPr>
          <w:trHeight w:val="375"/>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sz w:val="28"/>
                <w:szCs w:val="28"/>
              </w:rPr>
            </w:pPr>
            <w:r>
              <w:rPr>
                <w:rFonts w:ascii="Arial" w:hAnsi="Arial" w:cs="Arial"/>
                <w:sz w:val="28"/>
                <w:szCs w:val="28"/>
              </w:rPr>
              <w:t xml:space="preserve">     Motor Vehicle Thefts</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A17897">
            <w:pPr>
              <w:jc w:val="center"/>
              <w:rPr>
                <w:rFonts w:ascii="Arial" w:hAnsi="Arial" w:cs="Arial"/>
                <w:sz w:val="28"/>
                <w:szCs w:val="28"/>
              </w:rPr>
            </w:pPr>
            <w:r>
              <w:rPr>
                <w:rFonts w:ascii="Arial" w:hAnsi="Arial" w:cs="Arial"/>
                <w:sz w:val="28"/>
                <w:szCs w:val="28"/>
              </w:rPr>
              <w:t>2</w:t>
            </w:r>
            <w:r w:rsidR="00876E31">
              <w:rPr>
                <w:rFonts w:ascii="Arial" w:hAnsi="Arial" w:cs="Arial"/>
                <w:sz w:val="28"/>
                <w:szCs w:val="28"/>
              </w:rPr>
              <w:t>1</w:t>
            </w:r>
          </w:p>
        </w:tc>
      </w:tr>
      <w:tr w:rsidR="00524BD4">
        <w:trPr>
          <w:trHeight w:val="375"/>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085C18" w:rsidP="00A17897">
            <w:pPr>
              <w:rPr>
                <w:rFonts w:ascii="Arial" w:hAnsi="Arial" w:cs="Arial"/>
                <w:b/>
                <w:bCs/>
                <w:sz w:val="28"/>
                <w:szCs w:val="28"/>
              </w:rPr>
            </w:pPr>
            <w:r>
              <w:rPr>
                <w:rFonts w:ascii="Arial" w:hAnsi="Arial" w:cs="Arial"/>
                <w:b/>
                <w:bCs/>
                <w:sz w:val="28"/>
                <w:szCs w:val="28"/>
              </w:rPr>
              <w:t>Gulfport Police Communications Center</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A17897">
            <w:pPr>
              <w:jc w:val="center"/>
              <w:rPr>
                <w:rFonts w:ascii="Arial" w:hAnsi="Arial" w:cs="Arial"/>
                <w:sz w:val="28"/>
                <w:szCs w:val="28"/>
              </w:rPr>
            </w:pPr>
            <w:r>
              <w:rPr>
                <w:rFonts w:ascii="Arial" w:hAnsi="Arial" w:cs="Arial"/>
                <w:sz w:val="28"/>
                <w:szCs w:val="28"/>
              </w:rPr>
              <w:t>2</w:t>
            </w:r>
            <w:r w:rsidR="00876E31">
              <w:rPr>
                <w:rFonts w:ascii="Arial" w:hAnsi="Arial" w:cs="Arial"/>
                <w:sz w:val="28"/>
                <w:szCs w:val="28"/>
              </w:rPr>
              <w:t>2</w:t>
            </w:r>
          </w:p>
        </w:tc>
      </w:tr>
      <w:tr w:rsidR="00524BD4" w:rsidTr="00524BD4">
        <w:trPr>
          <w:trHeight w:val="360"/>
          <w:jc w:val="center"/>
        </w:trPr>
        <w:tc>
          <w:tcPr>
            <w:tcW w:w="6740" w:type="dxa"/>
            <w:tcBorders>
              <w:top w:val="nil"/>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b/>
                <w:bCs/>
                <w:sz w:val="28"/>
                <w:szCs w:val="28"/>
              </w:rPr>
            </w:pPr>
            <w:r>
              <w:rPr>
                <w:rFonts w:ascii="Arial" w:hAnsi="Arial" w:cs="Arial"/>
                <w:b/>
                <w:bCs/>
                <w:sz w:val="28"/>
                <w:szCs w:val="28"/>
              </w:rPr>
              <w:t>Traffic Data</w:t>
            </w:r>
          </w:p>
        </w:tc>
        <w:tc>
          <w:tcPr>
            <w:tcW w:w="1310" w:type="dxa"/>
            <w:tcBorders>
              <w:top w:val="nil"/>
              <w:left w:val="nil"/>
              <w:bottom w:val="single" w:sz="4" w:space="0" w:color="auto"/>
              <w:right w:val="single" w:sz="4" w:space="0" w:color="auto"/>
            </w:tcBorders>
            <w:shd w:val="clear" w:color="auto" w:fill="auto"/>
            <w:noWrap/>
            <w:vAlign w:val="bottom"/>
          </w:tcPr>
          <w:p w:rsidR="00524BD4" w:rsidRDefault="00524BD4" w:rsidP="00E037A9">
            <w:pPr>
              <w:jc w:val="center"/>
              <w:rPr>
                <w:rFonts w:ascii="Arial" w:hAnsi="Arial" w:cs="Arial"/>
                <w:sz w:val="28"/>
                <w:szCs w:val="28"/>
              </w:rPr>
            </w:pPr>
            <w:r>
              <w:rPr>
                <w:rFonts w:ascii="Arial" w:hAnsi="Arial" w:cs="Arial"/>
                <w:sz w:val="28"/>
                <w:szCs w:val="28"/>
              </w:rPr>
              <w:t>2</w:t>
            </w:r>
            <w:r w:rsidR="00085C18">
              <w:rPr>
                <w:rFonts w:ascii="Arial" w:hAnsi="Arial" w:cs="Arial"/>
                <w:sz w:val="28"/>
                <w:szCs w:val="28"/>
              </w:rPr>
              <w:t>6</w:t>
            </w:r>
          </w:p>
        </w:tc>
      </w:tr>
      <w:tr w:rsidR="00524BD4" w:rsidTr="00524BD4">
        <w:trPr>
          <w:trHeight w:val="360"/>
          <w:jc w:val="center"/>
        </w:trPr>
        <w:tc>
          <w:tcPr>
            <w:tcW w:w="67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24BD4" w:rsidRDefault="00524BD4" w:rsidP="00A17897">
            <w:pPr>
              <w:rPr>
                <w:rFonts w:ascii="Arial" w:hAnsi="Arial" w:cs="Arial"/>
                <w:b/>
                <w:bCs/>
                <w:sz w:val="28"/>
                <w:szCs w:val="28"/>
              </w:rPr>
            </w:pPr>
            <w:r>
              <w:rPr>
                <w:rFonts w:ascii="Arial" w:hAnsi="Arial" w:cs="Arial"/>
                <w:b/>
                <w:bCs/>
                <w:sz w:val="28"/>
                <w:szCs w:val="28"/>
              </w:rPr>
              <w:t>Citation / DUI Data</w:t>
            </w:r>
          </w:p>
        </w:tc>
        <w:tc>
          <w:tcPr>
            <w:tcW w:w="1310" w:type="dxa"/>
            <w:tcBorders>
              <w:top w:val="single" w:sz="4" w:space="0" w:color="auto"/>
              <w:left w:val="nil"/>
              <w:bottom w:val="single" w:sz="4" w:space="0" w:color="auto"/>
              <w:right w:val="single" w:sz="4" w:space="0" w:color="auto"/>
            </w:tcBorders>
            <w:shd w:val="clear" w:color="auto" w:fill="auto"/>
            <w:noWrap/>
            <w:vAlign w:val="bottom"/>
          </w:tcPr>
          <w:p w:rsidR="00524BD4" w:rsidRDefault="00085C18" w:rsidP="00E037A9">
            <w:pPr>
              <w:jc w:val="center"/>
              <w:rPr>
                <w:rFonts w:ascii="Arial" w:hAnsi="Arial" w:cs="Arial"/>
                <w:sz w:val="28"/>
                <w:szCs w:val="28"/>
              </w:rPr>
            </w:pPr>
            <w:r>
              <w:rPr>
                <w:rFonts w:ascii="Arial" w:hAnsi="Arial" w:cs="Arial"/>
                <w:sz w:val="28"/>
                <w:szCs w:val="28"/>
              </w:rPr>
              <w:t>30</w:t>
            </w:r>
          </w:p>
        </w:tc>
      </w:tr>
      <w:tr w:rsidR="00FD13F6" w:rsidTr="00524BD4">
        <w:trPr>
          <w:trHeight w:val="360"/>
          <w:jc w:val="center"/>
        </w:trPr>
        <w:tc>
          <w:tcPr>
            <w:tcW w:w="67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D13F6" w:rsidRDefault="00FD13F6" w:rsidP="00A17897">
            <w:pPr>
              <w:rPr>
                <w:rFonts w:ascii="Arial" w:hAnsi="Arial" w:cs="Arial"/>
                <w:b/>
                <w:bCs/>
                <w:sz w:val="28"/>
                <w:szCs w:val="28"/>
              </w:rPr>
            </w:pPr>
            <w:r>
              <w:rPr>
                <w:rFonts w:ascii="Arial" w:hAnsi="Arial" w:cs="Arial"/>
                <w:b/>
                <w:bCs/>
                <w:sz w:val="28"/>
                <w:szCs w:val="28"/>
              </w:rPr>
              <w:t>Alcohol related crashes</w:t>
            </w:r>
          </w:p>
        </w:tc>
        <w:tc>
          <w:tcPr>
            <w:tcW w:w="1310" w:type="dxa"/>
            <w:tcBorders>
              <w:top w:val="single" w:sz="4" w:space="0" w:color="auto"/>
              <w:left w:val="nil"/>
              <w:bottom w:val="single" w:sz="4" w:space="0" w:color="auto"/>
              <w:right w:val="single" w:sz="4" w:space="0" w:color="auto"/>
            </w:tcBorders>
            <w:shd w:val="clear" w:color="auto" w:fill="auto"/>
            <w:noWrap/>
            <w:vAlign w:val="bottom"/>
          </w:tcPr>
          <w:p w:rsidR="00FD13F6" w:rsidRDefault="00085C18" w:rsidP="00E037A9">
            <w:pPr>
              <w:jc w:val="center"/>
              <w:rPr>
                <w:rFonts w:ascii="Arial" w:hAnsi="Arial" w:cs="Arial"/>
                <w:sz w:val="28"/>
                <w:szCs w:val="28"/>
              </w:rPr>
            </w:pPr>
            <w:r>
              <w:rPr>
                <w:rFonts w:ascii="Arial" w:hAnsi="Arial" w:cs="Arial"/>
                <w:sz w:val="28"/>
                <w:szCs w:val="28"/>
              </w:rPr>
              <w:t>32</w:t>
            </w:r>
          </w:p>
        </w:tc>
      </w:tr>
      <w:tr w:rsidR="00815554" w:rsidTr="00524BD4">
        <w:trPr>
          <w:trHeight w:val="360"/>
          <w:jc w:val="center"/>
        </w:trPr>
        <w:tc>
          <w:tcPr>
            <w:tcW w:w="67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5554" w:rsidRDefault="00815554" w:rsidP="00A17897">
            <w:pPr>
              <w:rPr>
                <w:rFonts w:ascii="Arial" w:hAnsi="Arial" w:cs="Arial"/>
                <w:b/>
                <w:bCs/>
                <w:sz w:val="28"/>
                <w:szCs w:val="28"/>
              </w:rPr>
            </w:pPr>
            <w:r>
              <w:rPr>
                <w:rFonts w:ascii="Arial" w:hAnsi="Arial" w:cs="Arial"/>
                <w:b/>
                <w:bCs/>
                <w:sz w:val="28"/>
                <w:szCs w:val="28"/>
              </w:rPr>
              <w:t>Ten Year Charts</w:t>
            </w:r>
          </w:p>
        </w:tc>
        <w:tc>
          <w:tcPr>
            <w:tcW w:w="1310" w:type="dxa"/>
            <w:tcBorders>
              <w:top w:val="single" w:sz="4" w:space="0" w:color="auto"/>
              <w:left w:val="nil"/>
              <w:bottom w:val="single" w:sz="4" w:space="0" w:color="auto"/>
              <w:right w:val="single" w:sz="4" w:space="0" w:color="auto"/>
            </w:tcBorders>
            <w:shd w:val="clear" w:color="auto" w:fill="auto"/>
            <w:noWrap/>
            <w:vAlign w:val="bottom"/>
          </w:tcPr>
          <w:p w:rsidR="00815554" w:rsidRDefault="00815554" w:rsidP="00E037A9">
            <w:pPr>
              <w:jc w:val="center"/>
              <w:rPr>
                <w:rFonts w:ascii="Arial" w:hAnsi="Arial" w:cs="Arial"/>
                <w:sz w:val="28"/>
                <w:szCs w:val="28"/>
              </w:rPr>
            </w:pPr>
            <w:r>
              <w:rPr>
                <w:rFonts w:ascii="Arial" w:hAnsi="Arial" w:cs="Arial"/>
                <w:sz w:val="28"/>
                <w:szCs w:val="28"/>
              </w:rPr>
              <w:t>33</w:t>
            </w:r>
          </w:p>
        </w:tc>
      </w:tr>
      <w:tr w:rsidR="00524BD4" w:rsidTr="00524BD4">
        <w:trPr>
          <w:trHeight w:val="360"/>
          <w:jc w:val="center"/>
        </w:trPr>
        <w:tc>
          <w:tcPr>
            <w:tcW w:w="6740" w:type="dxa"/>
            <w:tcBorders>
              <w:top w:val="single" w:sz="4" w:space="0" w:color="auto"/>
            </w:tcBorders>
            <w:shd w:val="clear" w:color="auto" w:fill="auto"/>
            <w:noWrap/>
            <w:vAlign w:val="bottom"/>
          </w:tcPr>
          <w:p w:rsidR="00524BD4" w:rsidRDefault="00524BD4" w:rsidP="00A17897">
            <w:pPr>
              <w:rPr>
                <w:rFonts w:ascii="Arial" w:hAnsi="Arial" w:cs="Arial"/>
                <w:b/>
                <w:bCs/>
                <w:sz w:val="28"/>
                <w:szCs w:val="28"/>
              </w:rPr>
            </w:pPr>
          </w:p>
        </w:tc>
        <w:tc>
          <w:tcPr>
            <w:tcW w:w="1310" w:type="dxa"/>
            <w:tcBorders>
              <w:top w:val="single" w:sz="4" w:space="0" w:color="auto"/>
            </w:tcBorders>
            <w:shd w:val="clear" w:color="auto" w:fill="auto"/>
            <w:noWrap/>
            <w:vAlign w:val="bottom"/>
          </w:tcPr>
          <w:p w:rsidR="00524BD4" w:rsidRDefault="00524BD4" w:rsidP="00E037A9">
            <w:pPr>
              <w:jc w:val="center"/>
              <w:rPr>
                <w:rFonts w:ascii="Arial" w:hAnsi="Arial" w:cs="Arial"/>
                <w:sz w:val="28"/>
                <w:szCs w:val="28"/>
              </w:rPr>
            </w:pPr>
          </w:p>
        </w:tc>
      </w:tr>
    </w:tbl>
    <w:p w:rsidR="000E596A" w:rsidRPr="000E596A" w:rsidRDefault="000E596A" w:rsidP="000E596A">
      <w:pPr>
        <w:jc w:val="center"/>
        <w:rPr>
          <w:b/>
          <w:sz w:val="36"/>
          <w:szCs w:val="36"/>
        </w:rPr>
      </w:pPr>
    </w:p>
    <w:p w:rsidR="000E596A" w:rsidRDefault="000E596A" w:rsidP="00C553F2">
      <w:pPr>
        <w:rPr>
          <w:b/>
          <w:sz w:val="28"/>
          <w:szCs w:val="28"/>
        </w:rPr>
      </w:pPr>
    </w:p>
    <w:p w:rsidR="000E596A" w:rsidRDefault="000E596A" w:rsidP="00C553F2">
      <w:pPr>
        <w:rPr>
          <w:b/>
          <w:sz w:val="28"/>
          <w:szCs w:val="28"/>
        </w:rPr>
      </w:pPr>
    </w:p>
    <w:p w:rsidR="000E596A" w:rsidRDefault="000E596A" w:rsidP="00C553F2">
      <w:pPr>
        <w:rPr>
          <w:b/>
          <w:sz w:val="28"/>
          <w:szCs w:val="28"/>
        </w:rPr>
      </w:pPr>
    </w:p>
    <w:p w:rsidR="000E596A" w:rsidRDefault="000E596A" w:rsidP="00C553F2">
      <w:pPr>
        <w:rPr>
          <w:b/>
          <w:sz w:val="28"/>
          <w:szCs w:val="28"/>
        </w:rPr>
      </w:pPr>
    </w:p>
    <w:p w:rsidR="000E596A" w:rsidRDefault="000E596A" w:rsidP="00C553F2">
      <w:pPr>
        <w:rPr>
          <w:b/>
          <w:sz w:val="28"/>
          <w:szCs w:val="28"/>
        </w:rPr>
      </w:pPr>
    </w:p>
    <w:p w:rsidR="000E596A" w:rsidRDefault="000E596A" w:rsidP="00C553F2">
      <w:pPr>
        <w:rPr>
          <w:b/>
          <w:sz w:val="28"/>
          <w:szCs w:val="28"/>
        </w:rPr>
      </w:pPr>
    </w:p>
    <w:p w:rsidR="00A63F18" w:rsidRDefault="00A63F18" w:rsidP="00AE3572">
      <w:pPr>
        <w:outlineLvl w:val="0"/>
        <w:rPr>
          <w:b/>
          <w:sz w:val="22"/>
          <w:szCs w:val="22"/>
        </w:rPr>
      </w:pPr>
      <w:r w:rsidRPr="0016305A">
        <w:rPr>
          <w:b/>
          <w:sz w:val="22"/>
          <w:szCs w:val="22"/>
        </w:rPr>
        <w:lastRenderedPageBreak/>
        <w:t>Executive Summary:</w:t>
      </w:r>
    </w:p>
    <w:p w:rsidR="00D6411A" w:rsidRPr="0016305A" w:rsidRDefault="00D6411A" w:rsidP="00A63F18">
      <w:pPr>
        <w:rPr>
          <w:b/>
          <w:sz w:val="22"/>
          <w:szCs w:val="22"/>
        </w:rPr>
      </w:pPr>
    </w:p>
    <w:p w:rsidR="00A63F18" w:rsidRPr="004C6085" w:rsidRDefault="00A63F18" w:rsidP="00497B7E">
      <w:pPr>
        <w:jc w:val="both"/>
        <w:rPr>
          <w:sz w:val="22"/>
          <w:szCs w:val="22"/>
        </w:rPr>
      </w:pPr>
      <w:r>
        <w:rPr>
          <w:b/>
          <w:sz w:val="28"/>
          <w:szCs w:val="28"/>
        </w:rPr>
        <w:tab/>
      </w:r>
      <w:r w:rsidR="00AF2002">
        <w:rPr>
          <w:sz w:val="22"/>
          <w:szCs w:val="22"/>
        </w:rPr>
        <w:t>The Gulfport Police Communications cente</w:t>
      </w:r>
      <w:r w:rsidR="003A41C6">
        <w:rPr>
          <w:sz w:val="22"/>
          <w:szCs w:val="22"/>
        </w:rPr>
        <w:t>r fielded</w:t>
      </w:r>
      <w:r w:rsidR="00B66EB7">
        <w:rPr>
          <w:sz w:val="22"/>
          <w:szCs w:val="22"/>
        </w:rPr>
        <w:t xml:space="preserve"> </w:t>
      </w:r>
      <w:r w:rsidR="00B46EBC">
        <w:rPr>
          <w:b/>
          <w:sz w:val="22"/>
          <w:szCs w:val="22"/>
        </w:rPr>
        <w:t>136,127</w:t>
      </w:r>
      <w:r w:rsidR="00DC3A4B">
        <w:rPr>
          <w:b/>
          <w:sz w:val="22"/>
          <w:szCs w:val="22"/>
        </w:rPr>
        <w:t xml:space="preserve"> </w:t>
      </w:r>
      <w:r w:rsidR="00B66EB7">
        <w:rPr>
          <w:sz w:val="22"/>
          <w:szCs w:val="22"/>
        </w:rPr>
        <w:t xml:space="preserve">calls for service </w:t>
      </w:r>
      <w:r>
        <w:rPr>
          <w:sz w:val="22"/>
          <w:szCs w:val="22"/>
        </w:rPr>
        <w:t>during 20</w:t>
      </w:r>
      <w:r w:rsidR="00D32738">
        <w:rPr>
          <w:sz w:val="22"/>
          <w:szCs w:val="22"/>
        </w:rPr>
        <w:t>1</w:t>
      </w:r>
      <w:r w:rsidR="008976B4">
        <w:rPr>
          <w:sz w:val="22"/>
          <w:szCs w:val="22"/>
        </w:rPr>
        <w:t>6</w:t>
      </w:r>
      <w:r>
        <w:rPr>
          <w:sz w:val="22"/>
          <w:szCs w:val="22"/>
        </w:rPr>
        <w:t xml:space="preserve">. This </w:t>
      </w:r>
      <w:r w:rsidR="00331DF0">
        <w:rPr>
          <w:sz w:val="22"/>
          <w:szCs w:val="22"/>
        </w:rPr>
        <w:t>represents</w:t>
      </w:r>
      <w:r w:rsidR="00497B7E">
        <w:rPr>
          <w:sz w:val="22"/>
          <w:szCs w:val="22"/>
        </w:rPr>
        <w:t xml:space="preserve"> a</w:t>
      </w:r>
      <w:r w:rsidR="004E6B3C">
        <w:rPr>
          <w:sz w:val="22"/>
          <w:szCs w:val="22"/>
        </w:rPr>
        <w:t xml:space="preserve"> </w:t>
      </w:r>
      <w:r w:rsidR="00B46EBC">
        <w:rPr>
          <w:b/>
          <w:sz w:val="22"/>
          <w:szCs w:val="22"/>
        </w:rPr>
        <w:t>2</w:t>
      </w:r>
      <w:r w:rsidRPr="00C16BD3">
        <w:rPr>
          <w:b/>
          <w:sz w:val="22"/>
          <w:szCs w:val="22"/>
        </w:rPr>
        <w:t>%</w:t>
      </w:r>
      <w:r w:rsidRPr="00C16BD3">
        <w:rPr>
          <w:sz w:val="22"/>
          <w:szCs w:val="22"/>
        </w:rPr>
        <w:t xml:space="preserve"> </w:t>
      </w:r>
      <w:r w:rsidR="00B46EBC">
        <w:rPr>
          <w:sz w:val="22"/>
          <w:szCs w:val="22"/>
        </w:rPr>
        <w:t>de</w:t>
      </w:r>
      <w:r w:rsidR="00B66EB7">
        <w:rPr>
          <w:sz w:val="22"/>
          <w:szCs w:val="22"/>
        </w:rPr>
        <w:t>crease in ca</w:t>
      </w:r>
      <w:r w:rsidRPr="00C16BD3">
        <w:rPr>
          <w:sz w:val="22"/>
          <w:szCs w:val="22"/>
        </w:rPr>
        <w:t>lls for service</w:t>
      </w:r>
      <w:r>
        <w:rPr>
          <w:sz w:val="22"/>
          <w:szCs w:val="22"/>
        </w:rPr>
        <w:t xml:space="preserve"> when compared to</w:t>
      </w:r>
      <w:r w:rsidR="00B66EB7">
        <w:rPr>
          <w:sz w:val="22"/>
          <w:szCs w:val="22"/>
        </w:rPr>
        <w:t xml:space="preserve"> 20</w:t>
      </w:r>
      <w:r w:rsidR="004E6B3C">
        <w:rPr>
          <w:sz w:val="22"/>
          <w:szCs w:val="22"/>
        </w:rPr>
        <w:t>1</w:t>
      </w:r>
      <w:r w:rsidR="00B46EBC">
        <w:rPr>
          <w:sz w:val="22"/>
          <w:szCs w:val="22"/>
        </w:rPr>
        <w:t>5</w:t>
      </w:r>
      <w:r w:rsidR="008F50E9">
        <w:rPr>
          <w:sz w:val="22"/>
          <w:szCs w:val="22"/>
        </w:rPr>
        <w:t xml:space="preserve"> in which</w:t>
      </w:r>
      <w:r w:rsidR="00B66EB7">
        <w:rPr>
          <w:sz w:val="22"/>
          <w:szCs w:val="22"/>
        </w:rPr>
        <w:t xml:space="preserve"> </w:t>
      </w:r>
      <w:r w:rsidR="00B46EBC">
        <w:rPr>
          <w:b/>
          <w:sz w:val="22"/>
          <w:szCs w:val="22"/>
        </w:rPr>
        <w:t>139,232</w:t>
      </w:r>
      <w:r w:rsidR="00740777">
        <w:rPr>
          <w:b/>
          <w:sz w:val="22"/>
          <w:szCs w:val="22"/>
        </w:rPr>
        <w:t xml:space="preserve"> </w:t>
      </w:r>
      <w:r w:rsidR="00B66EB7">
        <w:rPr>
          <w:sz w:val="22"/>
          <w:szCs w:val="22"/>
        </w:rPr>
        <w:t>calls for service</w:t>
      </w:r>
      <w:r w:rsidR="00396903">
        <w:rPr>
          <w:sz w:val="22"/>
          <w:szCs w:val="22"/>
        </w:rPr>
        <w:t xml:space="preserve"> to the public</w:t>
      </w:r>
      <w:r w:rsidR="008F50E9">
        <w:rPr>
          <w:sz w:val="22"/>
          <w:szCs w:val="22"/>
        </w:rPr>
        <w:t xml:space="preserve"> were recorded</w:t>
      </w:r>
      <w:r w:rsidRPr="00C16BD3">
        <w:rPr>
          <w:sz w:val="22"/>
          <w:szCs w:val="22"/>
        </w:rPr>
        <w:t>.</w:t>
      </w:r>
      <w:r w:rsidR="00A309F7">
        <w:rPr>
          <w:sz w:val="22"/>
          <w:szCs w:val="22"/>
        </w:rPr>
        <w:t xml:space="preserve"> </w:t>
      </w:r>
      <w:r w:rsidR="00B347AD">
        <w:rPr>
          <w:sz w:val="22"/>
          <w:szCs w:val="22"/>
        </w:rPr>
        <w:t>A de</w:t>
      </w:r>
      <w:r w:rsidR="00A309F7" w:rsidRPr="004C6085">
        <w:rPr>
          <w:sz w:val="22"/>
          <w:szCs w:val="22"/>
        </w:rPr>
        <w:t xml:space="preserve">crease of </w:t>
      </w:r>
      <w:r w:rsidR="00BB168B">
        <w:rPr>
          <w:b/>
          <w:sz w:val="22"/>
          <w:szCs w:val="22"/>
        </w:rPr>
        <w:t>1</w:t>
      </w:r>
      <w:r w:rsidR="00A309F7" w:rsidRPr="004C6085">
        <w:rPr>
          <w:b/>
          <w:sz w:val="22"/>
          <w:szCs w:val="22"/>
        </w:rPr>
        <w:t>%</w:t>
      </w:r>
      <w:r w:rsidR="00A309F7" w:rsidRPr="004C6085">
        <w:rPr>
          <w:sz w:val="22"/>
          <w:szCs w:val="22"/>
        </w:rPr>
        <w:t xml:space="preserve"> in documented police</w:t>
      </w:r>
      <w:r w:rsidR="004C6085">
        <w:rPr>
          <w:sz w:val="22"/>
          <w:szCs w:val="22"/>
        </w:rPr>
        <w:t xml:space="preserve"> reports was also noted</w:t>
      </w:r>
      <w:r w:rsidR="00B347AD">
        <w:rPr>
          <w:sz w:val="22"/>
          <w:szCs w:val="22"/>
        </w:rPr>
        <w:t xml:space="preserve"> in 2016</w:t>
      </w:r>
      <w:r w:rsidR="00F8135A" w:rsidRPr="004C6085">
        <w:rPr>
          <w:sz w:val="22"/>
          <w:szCs w:val="22"/>
        </w:rPr>
        <w:t xml:space="preserve"> </w:t>
      </w:r>
      <w:r w:rsidR="00A309F7" w:rsidRPr="004C6085">
        <w:rPr>
          <w:sz w:val="22"/>
          <w:szCs w:val="22"/>
        </w:rPr>
        <w:t xml:space="preserve">with </w:t>
      </w:r>
      <w:r w:rsidR="00B347AD">
        <w:rPr>
          <w:b/>
          <w:sz w:val="22"/>
          <w:szCs w:val="22"/>
        </w:rPr>
        <w:t>16,370</w:t>
      </w:r>
      <w:r w:rsidR="00F8135A" w:rsidRPr="004C6085">
        <w:rPr>
          <w:b/>
          <w:sz w:val="22"/>
          <w:szCs w:val="22"/>
        </w:rPr>
        <w:t xml:space="preserve"> </w:t>
      </w:r>
      <w:r w:rsidR="00B347AD">
        <w:rPr>
          <w:sz w:val="22"/>
          <w:szCs w:val="22"/>
        </w:rPr>
        <w:t>when compared to 2015</w:t>
      </w:r>
      <w:r w:rsidR="00A309F7" w:rsidRPr="004C6085">
        <w:rPr>
          <w:sz w:val="22"/>
          <w:szCs w:val="22"/>
        </w:rPr>
        <w:t xml:space="preserve"> with </w:t>
      </w:r>
      <w:r w:rsidR="00BB168B">
        <w:rPr>
          <w:b/>
          <w:sz w:val="22"/>
          <w:szCs w:val="22"/>
        </w:rPr>
        <w:t>1</w:t>
      </w:r>
      <w:r w:rsidR="00E46E3F">
        <w:rPr>
          <w:b/>
          <w:sz w:val="22"/>
          <w:szCs w:val="22"/>
        </w:rPr>
        <w:t>6,</w:t>
      </w:r>
      <w:r w:rsidR="00B347AD">
        <w:rPr>
          <w:b/>
          <w:sz w:val="22"/>
          <w:szCs w:val="22"/>
        </w:rPr>
        <w:t>459</w:t>
      </w:r>
      <w:r w:rsidR="00A81567" w:rsidRPr="004C6085">
        <w:rPr>
          <w:sz w:val="22"/>
          <w:szCs w:val="22"/>
        </w:rPr>
        <w:t xml:space="preserve">. </w:t>
      </w:r>
    </w:p>
    <w:p w:rsidR="00A63F18" w:rsidRPr="004C6085" w:rsidRDefault="00A63F18" w:rsidP="00497B7E">
      <w:pPr>
        <w:ind w:firstLine="720"/>
        <w:jc w:val="both"/>
        <w:rPr>
          <w:sz w:val="22"/>
          <w:szCs w:val="22"/>
        </w:rPr>
      </w:pPr>
      <w:r w:rsidRPr="004C6085">
        <w:rPr>
          <w:sz w:val="22"/>
          <w:szCs w:val="22"/>
        </w:rPr>
        <w:t>Violent Crimes</w:t>
      </w:r>
      <w:r w:rsidR="00B17ED4" w:rsidRPr="004C6085">
        <w:rPr>
          <w:sz w:val="22"/>
          <w:szCs w:val="22"/>
        </w:rPr>
        <w:t xml:space="preserve">, </w:t>
      </w:r>
      <w:r w:rsidR="00B17ED4" w:rsidRPr="004C6085">
        <w:rPr>
          <w:i/>
          <w:sz w:val="22"/>
          <w:szCs w:val="22"/>
        </w:rPr>
        <w:t>defined</w:t>
      </w:r>
      <w:r w:rsidR="0059547A" w:rsidRPr="004C6085">
        <w:rPr>
          <w:i/>
          <w:sz w:val="22"/>
          <w:szCs w:val="22"/>
        </w:rPr>
        <w:t xml:space="preserve"> by the Federal Bureau of Investigation’s </w:t>
      </w:r>
      <w:r w:rsidR="00B17ED4" w:rsidRPr="004C6085">
        <w:rPr>
          <w:i/>
          <w:sz w:val="22"/>
          <w:szCs w:val="22"/>
        </w:rPr>
        <w:t xml:space="preserve">as Murder, </w:t>
      </w:r>
      <w:r w:rsidR="0059547A" w:rsidRPr="004C6085">
        <w:rPr>
          <w:i/>
          <w:sz w:val="22"/>
          <w:szCs w:val="22"/>
        </w:rPr>
        <w:t xml:space="preserve">Forcible </w:t>
      </w:r>
      <w:r w:rsidR="00B17ED4" w:rsidRPr="004C6085">
        <w:rPr>
          <w:i/>
          <w:sz w:val="22"/>
          <w:szCs w:val="22"/>
        </w:rPr>
        <w:t>Rape, Robbery, and Aggravated Assault</w:t>
      </w:r>
      <w:r w:rsidR="00B17ED4" w:rsidRPr="004C6085">
        <w:rPr>
          <w:sz w:val="22"/>
          <w:szCs w:val="22"/>
        </w:rPr>
        <w:t>,</w:t>
      </w:r>
      <w:r w:rsidRPr="004C6085">
        <w:rPr>
          <w:sz w:val="22"/>
          <w:szCs w:val="22"/>
        </w:rPr>
        <w:t xml:space="preserve"> </w:t>
      </w:r>
      <w:r w:rsidR="00396903" w:rsidRPr="004C6085">
        <w:rPr>
          <w:sz w:val="22"/>
          <w:szCs w:val="22"/>
        </w:rPr>
        <w:t xml:space="preserve">as a whole </w:t>
      </w:r>
      <w:r w:rsidR="00F575FF" w:rsidRPr="004C6085">
        <w:rPr>
          <w:sz w:val="22"/>
          <w:szCs w:val="22"/>
        </w:rPr>
        <w:t xml:space="preserve">have </w:t>
      </w:r>
      <w:r w:rsidR="00BB168B">
        <w:rPr>
          <w:sz w:val="22"/>
          <w:szCs w:val="22"/>
        </w:rPr>
        <w:t>inc</w:t>
      </w:r>
      <w:r w:rsidR="00740777" w:rsidRPr="004C6085">
        <w:rPr>
          <w:sz w:val="22"/>
          <w:szCs w:val="22"/>
        </w:rPr>
        <w:t>reased</w:t>
      </w:r>
      <w:r w:rsidR="00F575FF" w:rsidRPr="004C6085">
        <w:rPr>
          <w:sz w:val="22"/>
          <w:szCs w:val="22"/>
        </w:rPr>
        <w:t xml:space="preserve"> </w:t>
      </w:r>
      <w:r w:rsidR="008F50E9">
        <w:rPr>
          <w:b/>
          <w:sz w:val="22"/>
          <w:szCs w:val="22"/>
        </w:rPr>
        <w:t>1</w:t>
      </w:r>
      <w:r w:rsidR="00B347AD">
        <w:rPr>
          <w:b/>
          <w:sz w:val="22"/>
          <w:szCs w:val="22"/>
        </w:rPr>
        <w:t>2</w:t>
      </w:r>
      <w:r w:rsidRPr="004C6085">
        <w:rPr>
          <w:b/>
          <w:sz w:val="22"/>
          <w:szCs w:val="22"/>
        </w:rPr>
        <w:t>%</w:t>
      </w:r>
      <w:r w:rsidRPr="004C6085">
        <w:rPr>
          <w:sz w:val="22"/>
          <w:szCs w:val="22"/>
        </w:rPr>
        <w:t xml:space="preserve"> </w:t>
      </w:r>
      <w:r w:rsidR="00524BD4" w:rsidRPr="004C6085">
        <w:rPr>
          <w:sz w:val="22"/>
          <w:szCs w:val="22"/>
        </w:rPr>
        <w:t>through</w:t>
      </w:r>
      <w:r w:rsidR="00BA4DAF" w:rsidRPr="004C6085">
        <w:rPr>
          <w:sz w:val="22"/>
          <w:szCs w:val="22"/>
        </w:rPr>
        <w:t xml:space="preserve"> </w:t>
      </w:r>
      <w:r w:rsidR="00B347AD">
        <w:rPr>
          <w:sz w:val="22"/>
          <w:szCs w:val="22"/>
        </w:rPr>
        <w:t>2016</w:t>
      </w:r>
      <w:r w:rsidR="00F575FF" w:rsidRPr="004C6085">
        <w:rPr>
          <w:sz w:val="22"/>
          <w:szCs w:val="22"/>
        </w:rPr>
        <w:t xml:space="preserve"> when</w:t>
      </w:r>
      <w:r w:rsidR="00C51735" w:rsidRPr="004C6085">
        <w:rPr>
          <w:sz w:val="22"/>
          <w:szCs w:val="22"/>
        </w:rPr>
        <w:t xml:space="preserve"> </w:t>
      </w:r>
      <w:r w:rsidRPr="004C6085">
        <w:rPr>
          <w:sz w:val="22"/>
          <w:szCs w:val="22"/>
        </w:rPr>
        <w:t xml:space="preserve">compared to </w:t>
      </w:r>
      <w:r w:rsidR="00B347AD">
        <w:rPr>
          <w:sz w:val="22"/>
          <w:szCs w:val="22"/>
        </w:rPr>
        <w:t>2015</w:t>
      </w:r>
      <w:r w:rsidR="00A978B7">
        <w:rPr>
          <w:sz w:val="22"/>
          <w:szCs w:val="22"/>
        </w:rPr>
        <w:t xml:space="preserve"> </w:t>
      </w:r>
      <w:r w:rsidR="00BB168B">
        <w:rPr>
          <w:sz w:val="22"/>
          <w:szCs w:val="22"/>
        </w:rPr>
        <w:t>and also</w:t>
      </w:r>
      <w:r w:rsidRPr="004C6085">
        <w:rPr>
          <w:sz w:val="22"/>
          <w:szCs w:val="22"/>
        </w:rPr>
        <w:t xml:space="preserve"> </w:t>
      </w:r>
      <w:r w:rsidR="00B67EC7" w:rsidRPr="004C6085">
        <w:rPr>
          <w:sz w:val="22"/>
          <w:szCs w:val="22"/>
        </w:rPr>
        <w:t>in</w:t>
      </w:r>
      <w:r w:rsidR="00927A9B" w:rsidRPr="004C6085">
        <w:rPr>
          <w:sz w:val="22"/>
          <w:szCs w:val="22"/>
        </w:rPr>
        <w:t>creased</w:t>
      </w:r>
      <w:r w:rsidRPr="004C6085">
        <w:rPr>
          <w:sz w:val="22"/>
          <w:szCs w:val="22"/>
        </w:rPr>
        <w:t xml:space="preserve"> </w:t>
      </w:r>
      <w:r w:rsidR="00B347AD">
        <w:rPr>
          <w:b/>
          <w:sz w:val="22"/>
          <w:szCs w:val="22"/>
        </w:rPr>
        <w:t>22</w:t>
      </w:r>
      <w:r w:rsidRPr="004C6085">
        <w:rPr>
          <w:b/>
          <w:sz w:val="22"/>
          <w:szCs w:val="22"/>
        </w:rPr>
        <w:t xml:space="preserve">% </w:t>
      </w:r>
      <w:r w:rsidRPr="004C6085">
        <w:rPr>
          <w:sz w:val="22"/>
          <w:szCs w:val="22"/>
        </w:rPr>
        <w:t xml:space="preserve">compared to the previous five year average. More specifically, </w:t>
      </w:r>
      <w:r w:rsidR="00C51735" w:rsidRPr="004C6085">
        <w:rPr>
          <w:sz w:val="22"/>
          <w:szCs w:val="22"/>
        </w:rPr>
        <w:t>Homicides</w:t>
      </w:r>
      <w:r w:rsidRPr="004C6085">
        <w:rPr>
          <w:sz w:val="22"/>
          <w:szCs w:val="22"/>
        </w:rPr>
        <w:t xml:space="preserve"> </w:t>
      </w:r>
      <w:r w:rsidR="008F50E9">
        <w:rPr>
          <w:sz w:val="22"/>
          <w:szCs w:val="22"/>
        </w:rPr>
        <w:t xml:space="preserve">increased </w:t>
      </w:r>
      <w:r w:rsidR="00B347AD">
        <w:rPr>
          <w:b/>
          <w:sz w:val="22"/>
          <w:szCs w:val="22"/>
        </w:rPr>
        <w:t>25</w:t>
      </w:r>
      <w:r w:rsidR="008F50E9" w:rsidRPr="008F50E9">
        <w:rPr>
          <w:b/>
          <w:sz w:val="22"/>
          <w:szCs w:val="22"/>
        </w:rPr>
        <w:t>%</w:t>
      </w:r>
      <w:r w:rsidR="00497B7E" w:rsidRPr="004C6085">
        <w:rPr>
          <w:sz w:val="22"/>
          <w:szCs w:val="22"/>
        </w:rPr>
        <w:t xml:space="preserve"> </w:t>
      </w:r>
      <w:r w:rsidR="00BA4DAF" w:rsidRPr="004C6085">
        <w:rPr>
          <w:sz w:val="22"/>
          <w:szCs w:val="22"/>
        </w:rPr>
        <w:t xml:space="preserve">with </w:t>
      </w:r>
      <w:r w:rsidR="00B347AD">
        <w:rPr>
          <w:sz w:val="22"/>
          <w:szCs w:val="22"/>
        </w:rPr>
        <w:t>ten</w:t>
      </w:r>
      <w:r w:rsidR="001B65E6" w:rsidRPr="004C6085">
        <w:rPr>
          <w:sz w:val="22"/>
          <w:szCs w:val="22"/>
        </w:rPr>
        <w:t xml:space="preserve"> (</w:t>
      </w:r>
      <w:r w:rsidR="00B347AD">
        <w:rPr>
          <w:b/>
          <w:sz w:val="22"/>
          <w:szCs w:val="22"/>
        </w:rPr>
        <w:t>10</w:t>
      </w:r>
      <w:r w:rsidR="001B65E6" w:rsidRPr="004C6085">
        <w:rPr>
          <w:sz w:val="22"/>
          <w:szCs w:val="22"/>
        </w:rPr>
        <w:t>)</w:t>
      </w:r>
      <w:r w:rsidR="00BF482E" w:rsidRPr="004C6085">
        <w:rPr>
          <w:sz w:val="22"/>
          <w:szCs w:val="22"/>
        </w:rPr>
        <w:t xml:space="preserve"> being reported in </w:t>
      </w:r>
      <w:r w:rsidR="00927A9B" w:rsidRPr="004C6085">
        <w:rPr>
          <w:sz w:val="22"/>
          <w:szCs w:val="22"/>
        </w:rPr>
        <w:t>20</w:t>
      </w:r>
      <w:r w:rsidR="00B347AD">
        <w:rPr>
          <w:sz w:val="22"/>
          <w:szCs w:val="22"/>
        </w:rPr>
        <w:t>16 where eight</w:t>
      </w:r>
      <w:r w:rsidR="00BA4DAF" w:rsidRPr="004C6085">
        <w:rPr>
          <w:sz w:val="22"/>
          <w:szCs w:val="22"/>
        </w:rPr>
        <w:t xml:space="preserve"> (</w:t>
      </w:r>
      <w:r w:rsidR="00B347AD">
        <w:rPr>
          <w:b/>
          <w:sz w:val="22"/>
          <w:szCs w:val="22"/>
        </w:rPr>
        <w:t>8</w:t>
      </w:r>
      <w:r w:rsidR="00DC3A4B" w:rsidRPr="004C6085">
        <w:rPr>
          <w:sz w:val="22"/>
          <w:szCs w:val="22"/>
        </w:rPr>
        <w:t>) were reported</w:t>
      </w:r>
      <w:r w:rsidR="00BF482E" w:rsidRPr="004C6085">
        <w:rPr>
          <w:sz w:val="22"/>
          <w:szCs w:val="22"/>
        </w:rPr>
        <w:t xml:space="preserve"> </w:t>
      </w:r>
      <w:r w:rsidR="00BA4DAF" w:rsidRPr="004C6085">
        <w:rPr>
          <w:sz w:val="22"/>
          <w:szCs w:val="22"/>
        </w:rPr>
        <w:t xml:space="preserve">during </w:t>
      </w:r>
      <w:r w:rsidR="00B347AD">
        <w:rPr>
          <w:sz w:val="22"/>
          <w:szCs w:val="22"/>
        </w:rPr>
        <w:t>2015</w:t>
      </w:r>
      <w:r w:rsidR="00396903" w:rsidRPr="004C6085">
        <w:rPr>
          <w:sz w:val="22"/>
          <w:szCs w:val="22"/>
        </w:rPr>
        <w:t>.</w:t>
      </w:r>
      <w:r w:rsidR="00F575FF" w:rsidRPr="004C6085">
        <w:rPr>
          <w:sz w:val="22"/>
          <w:szCs w:val="22"/>
        </w:rPr>
        <w:t xml:space="preserve"> </w:t>
      </w:r>
      <w:r w:rsidR="00927A9B" w:rsidRPr="004C6085">
        <w:rPr>
          <w:sz w:val="22"/>
          <w:szCs w:val="22"/>
        </w:rPr>
        <w:t xml:space="preserve">Homicides </w:t>
      </w:r>
      <w:r w:rsidR="00BB168B">
        <w:rPr>
          <w:sz w:val="22"/>
          <w:szCs w:val="22"/>
        </w:rPr>
        <w:t xml:space="preserve">were also up </w:t>
      </w:r>
      <w:r w:rsidR="00B347AD">
        <w:rPr>
          <w:b/>
          <w:sz w:val="22"/>
          <w:szCs w:val="22"/>
        </w:rPr>
        <w:t>25</w:t>
      </w:r>
      <w:r w:rsidR="00BB168B" w:rsidRPr="00BB168B">
        <w:rPr>
          <w:b/>
          <w:sz w:val="22"/>
          <w:szCs w:val="22"/>
        </w:rPr>
        <w:t>%</w:t>
      </w:r>
      <w:r w:rsidR="00BB168B">
        <w:rPr>
          <w:sz w:val="22"/>
          <w:szCs w:val="22"/>
        </w:rPr>
        <w:t xml:space="preserve"> percent when compared to the five year average</w:t>
      </w:r>
      <w:r w:rsidR="00927A9B" w:rsidRPr="004C6085">
        <w:rPr>
          <w:sz w:val="22"/>
          <w:szCs w:val="22"/>
        </w:rPr>
        <w:t>.</w:t>
      </w:r>
      <w:r w:rsidR="00C51735" w:rsidRPr="004C6085">
        <w:rPr>
          <w:sz w:val="22"/>
          <w:szCs w:val="22"/>
        </w:rPr>
        <w:t xml:space="preserve"> </w:t>
      </w:r>
      <w:r w:rsidRPr="004C6085">
        <w:rPr>
          <w:sz w:val="22"/>
          <w:szCs w:val="22"/>
        </w:rPr>
        <w:t xml:space="preserve">Aggravated </w:t>
      </w:r>
      <w:r w:rsidR="00C51735" w:rsidRPr="004C6085">
        <w:rPr>
          <w:sz w:val="22"/>
          <w:szCs w:val="22"/>
        </w:rPr>
        <w:t>a</w:t>
      </w:r>
      <w:r w:rsidRPr="004C6085">
        <w:rPr>
          <w:sz w:val="22"/>
          <w:szCs w:val="22"/>
        </w:rPr>
        <w:t xml:space="preserve">ssaults </w:t>
      </w:r>
      <w:r w:rsidR="00B347AD">
        <w:rPr>
          <w:sz w:val="22"/>
          <w:szCs w:val="22"/>
        </w:rPr>
        <w:t>de</w:t>
      </w:r>
      <w:r w:rsidR="00DC3A4B" w:rsidRPr="004C6085">
        <w:rPr>
          <w:sz w:val="22"/>
          <w:szCs w:val="22"/>
        </w:rPr>
        <w:t>creased</w:t>
      </w:r>
      <w:r w:rsidR="00AB3D43" w:rsidRPr="004C6085">
        <w:rPr>
          <w:sz w:val="22"/>
          <w:szCs w:val="22"/>
        </w:rPr>
        <w:t xml:space="preserve"> </w:t>
      </w:r>
      <w:r w:rsidR="00B347AD">
        <w:rPr>
          <w:b/>
          <w:sz w:val="22"/>
          <w:szCs w:val="22"/>
        </w:rPr>
        <w:t>17</w:t>
      </w:r>
      <w:r w:rsidRPr="004C6085">
        <w:rPr>
          <w:b/>
          <w:sz w:val="22"/>
          <w:szCs w:val="22"/>
        </w:rPr>
        <w:t>%</w:t>
      </w:r>
      <w:r w:rsidRPr="004C6085">
        <w:rPr>
          <w:sz w:val="22"/>
          <w:szCs w:val="22"/>
        </w:rPr>
        <w:t xml:space="preserve"> compared to </w:t>
      </w:r>
      <w:r w:rsidR="00B347AD">
        <w:rPr>
          <w:sz w:val="22"/>
          <w:szCs w:val="22"/>
        </w:rPr>
        <w:t>2015 but</w:t>
      </w:r>
      <w:r w:rsidR="008F50E9">
        <w:rPr>
          <w:sz w:val="22"/>
          <w:szCs w:val="22"/>
        </w:rPr>
        <w:t xml:space="preserve"> in</w:t>
      </w:r>
      <w:r w:rsidR="00AB3D43" w:rsidRPr="004C6085">
        <w:rPr>
          <w:sz w:val="22"/>
          <w:szCs w:val="22"/>
        </w:rPr>
        <w:t xml:space="preserve">creased </w:t>
      </w:r>
      <w:r w:rsidR="00BB168B">
        <w:rPr>
          <w:b/>
          <w:sz w:val="22"/>
          <w:szCs w:val="22"/>
        </w:rPr>
        <w:t>5</w:t>
      </w:r>
      <w:r w:rsidRPr="004C6085">
        <w:rPr>
          <w:b/>
          <w:sz w:val="22"/>
          <w:szCs w:val="22"/>
        </w:rPr>
        <w:t>%</w:t>
      </w:r>
      <w:r w:rsidR="00927A9B" w:rsidRPr="004C6085">
        <w:rPr>
          <w:sz w:val="22"/>
          <w:szCs w:val="22"/>
        </w:rPr>
        <w:t xml:space="preserve"> </w:t>
      </w:r>
      <w:r w:rsidRPr="004C6085">
        <w:rPr>
          <w:sz w:val="22"/>
          <w:szCs w:val="22"/>
        </w:rPr>
        <w:t>compared to the previous five-</w:t>
      </w:r>
      <w:r w:rsidR="00DC3A4B" w:rsidRPr="004C6085">
        <w:rPr>
          <w:sz w:val="22"/>
          <w:szCs w:val="22"/>
        </w:rPr>
        <w:t>year a</w:t>
      </w:r>
      <w:r w:rsidR="00B347AD">
        <w:rPr>
          <w:sz w:val="22"/>
          <w:szCs w:val="22"/>
        </w:rPr>
        <w:t>verage. Robberies are up</w:t>
      </w:r>
      <w:r w:rsidRPr="004C6085">
        <w:rPr>
          <w:sz w:val="22"/>
          <w:szCs w:val="22"/>
        </w:rPr>
        <w:t xml:space="preserve"> </w:t>
      </w:r>
      <w:r w:rsidR="00B347AD">
        <w:rPr>
          <w:b/>
          <w:sz w:val="22"/>
          <w:szCs w:val="22"/>
        </w:rPr>
        <w:t>19</w:t>
      </w:r>
      <w:r w:rsidRPr="004C6085">
        <w:rPr>
          <w:b/>
          <w:sz w:val="22"/>
          <w:szCs w:val="22"/>
        </w:rPr>
        <w:t>%</w:t>
      </w:r>
      <w:r w:rsidRPr="004C6085">
        <w:rPr>
          <w:sz w:val="22"/>
          <w:szCs w:val="22"/>
        </w:rPr>
        <w:t xml:space="preserve"> in 20</w:t>
      </w:r>
      <w:r w:rsidR="00B347AD">
        <w:rPr>
          <w:sz w:val="22"/>
          <w:szCs w:val="22"/>
        </w:rPr>
        <w:t>16</w:t>
      </w:r>
      <w:r w:rsidRPr="004C6085">
        <w:rPr>
          <w:sz w:val="22"/>
          <w:szCs w:val="22"/>
        </w:rPr>
        <w:t xml:space="preserve"> compared to </w:t>
      </w:r>
      <w:r w:rsidR="00C51735" w:rsidRPr="004C6085">
        <w:rPr>
          <w:sz w:val="22"/>
          <w:szCs w:val="22"/>
        </w:rPr>
        <w:t xml:space="preserve">the same time period of </w:t>
      </w:r>
      <w:r w:rsidR="00B347AD">
        <w:rPr>
          <w:sz w:val="22"/>
          <w:szCs w:val="22"/>
        </w:rPr>
        <w:t>2015 and</w:t>
      </w:r>
      <w:r w:rsidR="00BB168B">
        <w:rPr>
          <w:sz w:val="22"/>
          <w:szCs w:val="22"/>
        </w:rPr>
        <w:t xml:space="preserve"> have</w:t>
      </w:r>
      <w:r w:rsidR="008F50E9">
        <w:rPr>
          <w:sz w:val="22"/>
          <w:szCs w:val="22"/>
        </w:rPr>
        <w:t xml:space="preserve"> in</w:t>
      </w:r>
      <w:r w:rsidR="001A7376" w:rsidRPr="004C6085">
        <w:rPr>
          <w:sz w:val="22"/>
          <w:szCs w:val="22"/>
        </w:rPr>
        <w:t>creased</w:t>
      </w:r>
      <w:r w:rsidRPr="004C6085">
        <w:rPr>
          <w:sz w:val="22"/>
          <w:szCs w:val="22"/>
        </w:rPr>
        <w:t xml:space="preserve"> </w:t>
      </w:r>
      <w:r w:rsidR="00B347AD">
        <w:rPr>
          <w:b/>
          <w:sz w:val="22"/>
          <w:szCs w:val="22"/>
        </w:rPr>
        <w:t>17</w:t>
      </w:r>
      <w:r w:rsidRPr="004C6085">
        <w:rPr>
          <w:b/>
          <w:sz w:val="22"/>
          <w:szCs w:val="22"/>
        </w:rPr>
        <w:t>%</w:t>
      </w:r>
      <w:r w:rsidRPr="004C6085">
        <w:rPr>
          <w:sz w:val="22"/>
          <w:szCs w:val="22"/>
        </w:rPr>
        <w:t xml:space="preserve"> compared to the previous five-year average. Reported</w:t>
      </w:r>
      <w:r w:rsidR="0059547A" w:rsidRPr="004C6085">
        <w:rPr>
          <w:sz w:val="22"/>
          <w:szCs w:val="22"/>
        </w:rPr>
        <w:t xml:space="preserve"> Forcible </w:t>
      </w:r>
      <w:r w:rsidRPr="004C6085">
        <w:rPr>
          <w:sz w:val="22"/>
          <w:szCs w:val="22"/>
        </w:rPr>
        <w:t>Rapes</w:t>
      </w:r>
      <w:r w:rsidR="00DA7E76" w:rsidRPr="004C6085">
        <w:rPr>
          <w:sz w:val="22"/>
          <w:szCs w:val="22"/>
        </w:rPr>
        <w:t xml:space="preserve"> </w:t>
      </w:r>
      <w:r w:rsidR="00BB168B">
        <w:rPr>
          <w:sz w:val="22"/>
          <w:szCs w:val="22"/>
        </w:rPr>
        <w:t xml:space="preserve">increased </w:t>
      </w:r>
      <w:r w:rsidR="00B347AD">
        <w:rPr>
          <w:b/>
          <w:sz w:val="22"/>
          <w:szCs w:val="22"/>
        </w:rPr>
        <w:t>83</w:t>
      </w:r>
      <w:r w:rsidR="00BB168B" w:rsidRPr="00BB168B">
        <w:rPr>
          <w:b/>
          <w:sz w:val="22"/>
          <w:szCs w:val="22"/>
        </w:rPr>
        <w:t>%</w:t>
      </w:r>
      <w:r w:rsidR="00B347AD">
        <w:rPr>
          <w:sz w:val="22"/>
          <w:szCs w:val="22"/>
        </w:rPr>
        <w:t xml:space="preserve"> when compared to 2015 and the previous five year average.</w:t>
      </w:r>
      <w:r w:rsidRPr="004C6085">
        <w:rPr>
          <w:sz w:val="22"/>
          <w:szCs w:val="22"/>
        </w:rPr>
        <w:t xml:space="preserve"> </w:t>
      </w:r>
    </w:p>
    <w:p w:rsidR="001A7376" w:rsidRDefault="00A63F18" w:rsidP="00497B7E">
      <w:pPr>
        <w:ind w:firstLine="720"/>
        <w:jc w:val="both"/>
        <w:rPr>
          <w:sz w:val="22"/>
          <w:szCs w:val="22"/>
        </w:rPr>
      </w:pPr>
      <w:r w:rsidRPr="004C6085">
        <w:rPr>
          <w:sz w:val="22"/>
          <w:szCs w:val="22"/>
        </w:rPr>
        <w:t>Property crimes</w:t>
      </w:r>
      <w:r w:rsidR="00B347AD">
        <w:rPr>
          <w:sz w:val="22"/>
          <w:szCs w:val="22"/>
        </w:rPr>
        <w:t xml:space="preserve">, </w:t>
      </w:r>
      <w:r w:rsidR="00B347AD" w:rsidRPr="00B347AD">
        <w:rPr>
          <w:i/>
          <w:sz w:val="22"/>
          <w:szCs w:val="22"/>
        </w:rPr>
        <w:t>of burglary, larceny, and auto theft</w:t>
      </w:r>
      <w:r w:rsidR="00B347AD">
        <w:rPr>
          <w:sz w:val="22"/>
          <w:szCs w:val="22"/>
        </w:rPr>
        <w:t>,</w:t>
      </w:r>
      <w:r w:rsidRPr="004C6085">
        <w:rPr>
          <w:sz w:val="22"/>
          <w:szCs w:val="22"/>
        </w:rPr>
        <w:t xml:space="preserve"> </w:t>
      </w:r>
      <w:r w:rsidR="003A41C6">
        <w:rPr>
          <w:sz w:val="22"/>
          <w:szCs w:val="22"/>
        </w:rPr>
        <w:t>in</w:t>
      </w:r>
      <w:r w:rsidR="00DA7E76" w:rsidRPr="004C6085">
        <w:rPr>
          <w:sz w:val="22"/>
          <w:szCs w:val="22"/>
        </w:rPr>
        <w:t>creased</w:t>
      </w:r>
      <w:r w:rsidR="00B347AD">
        <w:rPr>
          <w:sz w:val="22"/>
          <w:szCs w:val="22"/>
        </w:rPr>
        <w:t xml:space="preserve"> </w:t>
      </w:r>
      <w:r w:rsidR="00B347AD" w:rsidRPr="00B347AD">
        <w:rPr>
          <w:b/>
          <w:sz w:val="22"/>
          <w:szCs w:val="22"/>
        </w:rPr>
        <w:t>6%</w:t>
      </w:r>
      <w:r w:rsidR="00396903" w:rsidRPr="004C6085">
        <w:rPr>
          <w:sz w:val="22"/>
          <w:szCs w:val="22"/>
        </w:rPr>
        <w:t xml:space="preserve"> </w:t>
      </w:r>
      <w:r w:rsidR="00B347AD">
        <w:rPr>
          <w:sz w:val="22"/>
          <w:szCs w:val="22"/>
        </w:rPr>
        <w:t>when</w:t>
      </w:r>
      <w:r w:rsidR="00BB168B">
        <w:rPr>
          <w:sz w:val="22"/>
          <w:szCs w:val="22"/>
        </w:rPr>
        <w:t xml:space="preserve"> </w:t>
      </w:r>
      <w:r w:rsidR="00A375BB" w:rsidRPr="004C6085">
        <w:rPr>
          <w:sz w:val="22"/>
          <w:szCs w:val="22"/>
        </w:rPr>
        <w:t>co</w:t>
      </w:r>
      <w:r w:rsidR="00B347AD">
        <w:rPr>
          <w:sz w:val="22"/>
          <w:szCs w:val="22"/>
        </w:rPr>
        <w:t>mparing</w:t>
      </w:r>
      <w:r w:rsidR="003A41C6">
        <w:rPr>
          <w:sz w:val="22"/>
          <w:szCs w:val="22"/>
        </w:rPr>
        <w:t xml:space="preserve"> to</w:t>
      </w:r>
      <w:r w:rsidR="00396903" w:rsidRPr="004C6085">
        <w:rPr>
          <w:sz w:val="22"/>
          <w:szCs w:val="22"/>
        </w:rPr>
        <w:t xml:space="preserve"> </w:t>
      </w:r>
      <w:r w:rsidR="00B347AD">
        <w:rPr>
          <w:sz w:val="22"/>
          <w:szCs w:val="22"/>
        </w:rPr>
        <w:t>2015 and also</w:t>
      </w:r>
      <w:r w:rsidR="004C6085" w:rsidRPr="004C6085">
        <w:rPr>
          <w:sz w:val="22"/>
          <w:szCs w:val="22"/>
        </w:rPr>
        <w:t xml:space="preserve"> </w:t>
      </w:r>
      <w:r w:rsidR="00B347AD">
        <w:rPr>
          <w:sz w:val="22"/>
          <w:szCs w:val="22"/>
        </w:rPr>
        <w:t>in</w:t>
      </w:r>
      <w:r w:rsidR="00396903" w:rsidRPr="004C6085">
        <w:rPr>
          <w:sz w:val="22"/>
          <w:szCs w:val="22"/>
        </w:rPr>
        <w:t xml:space="preserve">creased </w:t>
      </w:r>
      <w:r w:rsidR="00B347AD">
        <w:rPr>
          <w:b/>
          <w:sz w:val="22"/>
          <w:szCs w:val="22"/>
        </w:rPr>
        <w:t>5</w:t>
      </w:r>
      <w:r w:rsidRPr="004C6085">
        <w:rPr>
          <w:b/>
          <w:sz w:val="22"/>
          <w:szCs w:val="22"/>
        </w:rPr>
        <w:t>%</w:t>
      </w:r>
      <w:r w:rsidRPr="004C6085">
        <w:rPr>
          <w:sz w:val="22"/>
          <w:szCs w:val="22"/>
        </w:rPr>
        <w:t xml:space="preserve"> </w:t>
      </w:r>
      <w:r w:rsidR="00396903" w:rsidRPr="004C6085">
        <w:rPr>
          <w:sz w:val="22"/>
          <w:szCs w:val="22"/>
        </w:rPr>
        <w:t xml:space="preserve">when </w:t>
      </w:r>
      <w:r w:rsidRPr="004C6085">
        <w:rPr>
          <w:sz w:val="22"/>
          <w:szCs w:val="22"/>
        </w:rPr>
        <w:t>compared to the prev</w:t>
      </w:r>
      <w:r w:rsidR="004C6085" w:rsidRPr="004C6085">
        <w:rPr>
          <w:sz w:val="22"/>
          <w:szCs w:val="22"/>
        </w:rPr>
        <w:t>io</w:t>
      </w:r>
      <w:r w:rsidR="003A41C6">
        <w:rPr>
          <w:sz w:val="22"/>
          <w:szCs w:val="22"/>
        </w:rPr>
        <w:t xml:space="preserve">us five-year average. </w:t>
      </w:r>
      <w:r w:rsidR="00457783">
        <w:rPr>
          <w:sz w:val="22"/>
          <w:szCs w:val="22"/>
        </w:rPr>
        <w:t xml:space="preserve">Auto Theft is showing a </w:t>
      </w:r>
      <w:r w:rsidR="00B347AD">
        <w:rPr>
          <w:b/>
          <w:sz w:val="22"/>
          <w:szCs w:val="22"/>
        </w:rPr>
        <w:t>7</w:t>
      </w:r>
      <w:r w:rsidR="00457783" w:rsidRPr="00457783">
        <w:rPr>
          <w:b/>
          <w:sz w:val="22"/>
          <w:szCs w:val="22"/>
        </w:rPr>
        <w:t>%</w:t>
      </w:r>
      <w:r w:rsidR="00B347AD">
        <w:rPr>
          <w:sz w:val="22"/>
          <w:szCs w:val="22"/>
        </w:rPr>
        <w:t xml:space="preserve"> increase from 2015 and a</w:t>
      </w:r>
      <w:r w:rsidR="00457783">
        <w:rPr>
          <w:sz w:val="22"/>
          <w:szCs w:val="22"/>
        </w:rPr>
        <w:t xml:space="preserve"> </w:t>
      </w:r>
      <w:r w:rsidR="00B347AD">
        <w:rPr>
          <w:b/>
          <w:sz w:val="22"/>
          <w:szCs w:val="22"/>
        </w:rPr>
        <w:t>21</w:t>
      </w:r>
      <w:r w:rsidR="00457783" w:rsidRPr="00457783">
        <w:rPr>
          <w:b/>
          <w:sz w:val="22"/>
          <w:szCs w:val="22"/>
        </w:rPr>
        <w:t>%</w:t>
      </w:r>
      <w:r w:rsidR="00457783">
        <w:rPr>
          <w:sz w:val="22"/>
          <w:szCs w:val="22"/>
        </w:rPr>
        <w:t xml:space="preserve"> </w:t>
      </w:r>
      <w:r w:rsidR="00B347AD">
        <w:rPr>
          <w:sz w:val="22"/>
          <w:szCs w:val="22"/>
        </w:rPr>
        <w:t xml:space="preserve">increase </w:t>
      </w:r>
      <w:r w:rsidR="00457783">
        <w:rPr>
          <w:sz w:val="22"/>
          <w:szCs w:val="22"/>
        </w:rPr>
        <w:t xml:space="preserve">in comparison to the five year average.  </w:t>
      </w:r>
      <w:r w:rsidR="003A41C6">
        <w:rPr>
          <w:sz w:val="22"/>
          <w:szCs w:val="22"/>
        </w:rPr>
        <w:t>Larcenies</w:t>
      </w:r>
      <w:r w:rsidRPr="004C6085">
        <w:rPr>
          <w:sz w:val="22"/>
          <w:szCs w:val="22"/>
        </w:rPr>
        <w:t xml:space="preserve"> </w:t>
      </w:r>
      <w:r w:rsidR="00B347AD">
        <w:rPr>
          <w:sz w:val="22"/>
          <w:szCs w:val="22"/>
        </w:rPr>
        <w:t xml:space="preserve">increased </w:t>
      </w:r>
      <w:r w:rsidR="00B347AD" w:rsidRPr="00B347AD">
        <w:rPr>
          <w:b/>
          <w:sz w:val="22"/>
          <w:szCs w:val="22"/>
        </w:rPr>
        <w:t>5%</w:t>
      </w:r>
      <w:r w:rsidR="00B347AD">
        <w:rPr>
          <w:sz w:val="22"/>
          <w:szCs w:val="22"/>
        </w:rPr>
        <w:t xml:space="preserve"> in comparison to 2015 along with a </w:t>
      </w:r>
      <w:r w:rsidR="00B347AD" w:rsidRPr="00B347AD">
        <w:rPr>
          <w:b/>
          <w:sz w:val="22"/>
          <w:szCs w:val="22"/>
        </w:rPr>
        <w:t>10%</w:t>
      </w:r>
      <w:r w:rsidR="00B347AD">
        <w:rPr>
          <w:sz w:val="22"/>
          <w:szCs w:val="22"/>
        </w:rPr>
        <w:t xml:space="preserve"> increase in the previous five year comparison. </w:t>
      </w:r>
      <w:r w:rsidR="006D11CB">
        <w:rPr>
          <w:sz w:val="22"/>
          <w:szCs w:val="22"/>
        </w:rPr>
        <w:t>Reported Burglaries are indicating a 6% increase in when compared to 2015 but</w:t>
      </w:r>
      <w:r w:rsidR="007E0AAD" w:rsidRPr="004C6085">
        <w:rPr>
          <w:sz w:val="22"/>
          <w:szCs w:val="22"/>
        </w:rPr>
        <w:t xml:space="preserve"> a </w:t>
      </w:r>
      <w:r w:rsidR="006D11CB">
        <w:rPr>
          <w:b/>
          <w:sz w:val="22"/>
          <w:szCs w:val="22"/>
        </w:rPr>
        <w:t>16</w:t>
      </w:r>
      <w:r w:rsidR="007E0AAD" w:rsidRPr="004C6085">
        <w:rPr>
          <w:b/>
          <w:sz w:val="22"/>
          <w:szCs w:val="22"/>
        </w:rPr>
        <w:t>%</w:t>
      </w:r>
      <w:r w:rsidR="003A41C6">
        <w:rPr>
          <w:sz w:val="22"/>
          <w:szCs w:val="22"/>
        </w:rPr>
        <w:t xml:space="preserve"> de</w:t>
      </w:r>
      <w:r w:rsidR="00457783">
        <w:rPr>
          <w:sz w:val="22"/>
          <w:szCs w:val="22"/>
        </w:rPr>
        <w:t xml:space="preserve">crease </w:t>
      </w:r>
      <w:r w:rsidR="006D11CB">
        <w:rPr>
          <w:sz w:val="22"/>
          <w:szCs w:val="22"/>
        </w:rPr>
        <w:t xml:space="preserve">when compared to the </w:t>
      </w:r>
      <w:r w:rsidR="00497B7E" w:rsidRPr="004C6085">
        <w:rPr>
          <w:sz w:val="22"/>
          <w:szCs w:val="22"/>
        </w:rPr>
        <w:t xml:space="preserve">previous </w:t>
      </w:r>
      <w:r w:rsidR="00DA7E76" w:rsidRPr="004C6085">
        <w:rPr>
          <w:sz w:val="22"/>
          <w:szCs w:val="22"/>
        </w:rPr>
        <w:t>five-year average</w:t>
      </w:r>
      <w:r w:rsidR="00AC5B0B">
        <w:rPr>
          <w:sz w:val="22"/>
          <w:szCs w:val="22"/>
        </w:rPr>
        <w:t>.</w:t>
      </w:r>
    </w:p>
    <w:p w:rsidR="004F73D8" w:rsidRDefault="004F73D8" w:rsidP="004F73D8">
      <w:pPr>
        <w:ind w:firstLine="720"/>
        <w:rPr>
          <w:sz w:val="22"/>
          <w:szCs w:val="22"/>
        </w:rPr>
      </w:pPr>
    </w:p>
    <w:p w:rsidR="004F73D8" w:rsidRDefault="004F73D8" w:rsidP="004F73D8">
      <w:pPr>
        <w:ind w:firstLine="720"/>
        <w:rPr>
          <w:sz w:val="22"/>
          <w:szCs w:val="22"/>
        </w:rPr>
      </w:pPr>
    </w:p>
    <w:tbl>
      <w:tblPr>
        <w:tblW w:w="9377" w:type="dxa"/>
        <w:tblInd w:w="93" w:type="dxa"/>
        <w:tblLook w:val="04A0" w:firstRow="1" w:lastRow="0" w:firstColumn="1" w:lastColumn="0" w:noHBand="0" w:noVBand="1"/>
      </w:tblPr>
      <w:tblGrid>
        <w:gridCol w:w="3383"/>
        <w:gridCol w:w="1135"/>
        <w:gridCol w:w="1148"/>
        <w:gridCol w:w="1405"/>
        <w:gridCol w:w="1057"/>
        <w:gridCol w:w="1249"/>
      </w:tblGrid>
      <w:tr w:rsidR="00B46EBC" w:rsidTr="00B46EBC">
        <w:trPr>
          <w:trHeight w:val="431"/>
        </w:trPr>
        <w:tc>
          <w:tcPr>
            <w:tcW w:w="3383" w:type="dxa"/>
            <w:tcBorders>
              <w:top w:val="single" w:sz="8" w:space="0" w:color="auto"/>
              <w:left w:val="single" w:sz="8" w:space="0" w:color="auto"/>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Crime</w:t>
            </w:r>
          </w:p>
        </w:tc>
        <w:tc>
          <w:tcPr>
            <w:tcW w:w="1135" w:type="dxa"/>
            <w:tcBorders>
              <w:top w:val="single" w:sz="8" w:space="0" w:color="auto"/>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2016</w:t>
            </w:r>
          </w:p>
        </w:tc>
        <w:tc>
          <w:tcPr>
            <w:tcW w:w="2553" w:type="dxa"/>
            <w:gridSpan w:val="2"/>
            <w:tcBorders>
              <w:top w:val="single" w:sz="8" w:space="0" w:color="auto"/>
              <w:left w:val="nil"/>
              <w:bottom w:val="single" w:sz="4" w:space="0" w:color="auto"/>
              <w:right w:val="single" w:sz="4" w:space="0" w:color="000000"/>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2015</w:t>
            </w:r>
          </w:p>
        </w:tc>
        <w:tc>
          <w:tcPr>
            <w:tcW w:w="2306" w:type="dxa"/>
            <w:gridSpan w:val="2"/>
            <w:tcBorders>
              <w:top w:val="single" w:sz="8" w:space="0" w:color="auto"/>
              <w:left w:val="nil"/>
              <w:bottom w:val="single" w:sz="4" w:space="0" w:color="auto"/>
              <w:right w:val="single" w:sz="8" w:space="0" w:color="000000"/>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5-Yr Ave.</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Total</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Total</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of ∆</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Total</w:t>
            </w:r>
          </w:p>
        </w:tc>
        <w:tc>
          <w:tcPr>
            <w:tcW w:w="1249" w:type="dxa"/>
            <w:tcBorders>
              <w:top w:val="nil"/>
              <w:left w:val="nil"/>
              <w:bottom w:val="single" w:sz="4" w:space="0" w:color="auto"/>
              <w:right w:val="single" w:sz="8"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of ∆</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Violent Crimes</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222</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199</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12%</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182</w:t>
            </w:r>
          </w:p>
        </w:tc>
        <w:tc>
          <w:tcPr>
            <w:tcW w:w="1249" w:type="dxa"/>
            <w:tcBorders>
              <w:top w:val="nil"/>
              <w:left w:val="nil"/>
              <w:bottom w:val="single" w:sz="4" w:space="0" w:color="auto"/>
              <w:right w:val="single" w:sz="8"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22%</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 xml:space="preserve">  Homicide</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10</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8</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25%</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8</w:t>
            </w:r>
          </w:p>
        </w:tc>
        <w:tc>
          <w:tcPr>
            <w:tcW w:w="1249" w:type="dxa"/>
            <w:tcBorders>
              <w:top w:val="nil"/>
              <w:left w:val="nil"/>
              <w:bottom w:val="single" w:sz="4" w:space="0" w:color="auto"/>
              <w:right w:val="single" w:sz="8"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25%</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 xml:space="preserve">  Forcible Rape </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42</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23</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83%</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23</w:t>
            </w:r>
          </w:p>
        </w:tc>
        <w:tc>
          <w:tcPr>
            <w:tcW w:w="1249"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83%</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 xml:space="preserve">  Robbery</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102</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86</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19%</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87</w:t>
            </w:r>
          </w:p>
        </w:tc>
        <w:tc>
          <w:tcPr>
            <w:tcW w:w="1249"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17%</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 xml:space="preserve">  Aggravated Assault</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68</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82</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-17%</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65</w:t>
            </w:r>
          </w:p>
        </w:tc>
        <w:tc>
          <w:tcPr>
            <w:tcW w:w="1249"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5%</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 </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w:t>
            </w:r>
          </w:p>
        </w:tc>
        <w:tc>
          <w:tcPr>
            <w:tcW w:w="1249" w:type="dxa"/>
            <w:tcBorders>
              <w:top w:val="nil"/>
              <w:left w:val="nil"/>
              <w:bottom w:val="single" w:sz="4" w:space="0" w:color="auto"/>
              <w:right w:val="single" w:sz="8"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Property Crimes</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3855</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3654</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6%</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3660</w:t>
            </w:r>
          </w:p>
        </w:tc>
        <w:tc>
          <w:tcPr>
            <w:tcW w:w="1249" w:type="dxa"/>
            <w:tcBorders>
              <w:top w:val="nil"/>
              <w:left w:val="nil"/>
              <w:bottom w:val="single" w:sz="4" w:space="0" w:color="auto"/>
              <w:right w:val="single" w:sz="8"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5%</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 xml:space="preserve">  Burglary</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650</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614</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6%</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773</w:t>
            </w:r>
          </w:p>
        </w:tc>
        <w:tc>
          <w:tcPr>
            <w:tcW w:w="1249" w:type="dxa"/>
            <w:tcBorders>
              <w:top w:val="nil"/>
              <w:left w:val="nil"/>
              <w:bottom w:val="single" w:sz="4" w:space="0" w:color="auto"/>
              <w:right w:val="single" w:sz="8"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-16%</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 xml:space="preserve">  Larceny</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3023</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2870</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5%</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2736</w:t>
            </w:r>
          </w:p>
        </w:tc>
        <w:tc>
          <w:tcPr>
            <w:tcW w:w="1249" w:type="dxa"/>
            <w:tcBorders>
              <w:top w:val="nil"/>
              <w:left w:val="nil"/>
              <w:bottom w:val="single" w:sz="4" w:space="0" w:color="auto"/>
              <w:right w:val="single" w:sz="8"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10%</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 xml:space="preserve">  Auto Theft</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182</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170</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7%</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150</w:t>
            </w:r>
          </w:p>
        </w:tc>
        <w:tc>
          <w:tcPr>
            <w:tcW w:w="1249" w:type="dxa"/>
            <w:tcBorders>
              <w:top w:val="nil"/>
              <w:left w:val="nil"/>
              <w:bottom w:val="single" w:sz="4" w:space="0" w:color="auto"/>
              <w:right w:val="single" w:sz="8"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21%</w:t>
            </w:r>
          </w:p>
        </w:tc>
      </w:tr>
      <w:tr w:rsidR="00B46EBC" w:rsidTr="00B46EBC">
        <w:trPr>
          <w:trHeight w:val="431"/>
        </w:trPr>
        <w:tc>
          <w:tcPr>
            <w:tcW w:w="3383" w:type="dxa"/>
            <w:tcBorders>
              <w:top w:val="nil"/>
              <w:left w:val="single" w:sz="8" w:space="0" w:color="auto"/>
              <w:bottom w:val="single" w:sz="4"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 </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 </w:t>
            </w:r>
          </w:p>
        </w:tc>
        <w:tc>
          <w:tcPr>
            <w:tcW w:w="1148"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w:t>
            </w:r>
          </w:p>
        </w:tc>
        <w:tc>
          <w:tcPr>
            <w:tcW w:w="1405" w:type="dxa"/>
            <w:tcBorders>
              <w:top w:val="nil"/>
              <w:left w:val="nil"/>
              <w:bottom w:val="single" w:sz="4"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FF0000"/>
                <w:sz w:val="32"/>
                <w:szCs w:val="32"/>
              </w:rPr>
            </w:pPr>
            <w:r>
              <w:rPr>
                <w:rFonts w:ascii="Calibri" w:hAnsi="Calibri" w:cs="Arial"/>
                <w:b/>
                <w:bCs/>
                <w:color w:val="FF0000"/>
                <w:sz w:val="32"/>
                <w:szCs w:val="32"/>
              </w:rPr>
              <w:t> </w:t>
            </w:r>
          </w:p>
        </w:tc>
        <w:tc>
          <w:tcPr>
            <w:tcW w:w="1057" w:type="dxa"/>
            <w:tcBorders>
              <w:top w:val="nil"/>
              <w:left w:val="nil"/>
              <w:bottom w:val="single" w:sz="4"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 </w:t>
            </w:r>
          </w:p>
        </w:tc>
        <w:tc>
          <w:tcPr>
            <w:tcW w:w="1249" w:type="dxa"/>
            <w:tcBorders>
              <w:top w:val="nil"/>
              <w:left w:val="nil"/>
              <w:bottom w:val="single" w:sz="4" w:space="0" w:color="auto"/>
              <w:right w:val="single" w:sz="8" w:space="0" w:color="auto"/>
            </w:tcBorders>
            <w:shd w:val="clear" w:color="000000" w:fill="DDD9C4"/>
            <w:noWrap/>
            <w:vAlign w:val="bottom"/>
            <w:hideMark/>
          </w:tcPr>
          <w:p w:rsidR="00B46EBC" w:rsidRDefault="00B46EBC">
            <w:pPr>
              <w:jc w:val="center"/>
              <w:rPr>
                <w:rFonts w:ascii="Calibri" w:hAnsi="Calibri" w:cs="Arial"/>
                <w:b/>
                <w:bCs/>
                <w:color w:val="FF0000"/>
                <w:sz w:val="32"/>
                <w:szCs w:val="32"/>
              </w:rPr>
            </w:pPr>
            <w:r>
              <w:rPr>
                <w:rFonts w:ascii="Calibri" w:hAnsi="Calibri" w:cs="Arial"/>
                <w:b/>
                <w:bCs/>
                <w:color w:val="FF0000"/>
                <w:sz w:val="32"/>
                <w:szCs w:val="32"/>
              </w:rPr>
              <w:t> </w:t>
            </w:r>
          </w:p>
        </w:tc>
      </w:tr>
      <w:tr w:rsidR="00B46EBC" w:rsidTr="00B46EBC">
        <w:trPr>
          <w:trHeight w:val="444"/>
        </w:trPr>
        <w:tc>
          <w:tcPr>
            <w:tcW w:w="3383" w:type="dxa"/>
            <w:tcBorders>
              <w:top w:val="nil"/>
              <w:left w:val="single" w:sz="8" w:space="0" w:color="auto"/>
              <w:bottom w:val="single" w:sz="8" w:space="0" w:color="auto"/>
              <w:right w:val="single" w:sz="4" w:space="0" w:color="auto"/>
            </w:tcBorders>
            <w:shd w:val="clear" w:color="000000" w:fill="C4BD97"/>
            <w:noWrap/>
            <w:vAlign w:val="bottom"/>
            <w:hideMark/>
          </w:tcPr>
          <w:p w:rsidR="00B46EBC" w:rsidRDefault="00B46EBC">
            <w:pPr>
              <w:rPr>
                <w:rFonts w:ascii="Calibri" w:hAnsi="Calibri" w:cs="Arial"/>
                <w:b/>
                <w:bCs/>
                <w:color w:val="000000"/>
                <w:sz w:val="32"/>
                <w:szCs w:val="32"/>
              </w:rPr>
            </w:pPr>
            <w:r>
              <w:rPr>
                <w:rFonts w:ascii="Calibri" w:hAnsi="Calibri" w:cs="Arial"/>
                <w:b/>
                <w:bCs/>
                <w:color w:val="000000"/>
                <w:sz w:val="32"/>
                <w:szCs w:val="32"/>
              </w:rPr>
              <w:t>Total Group A Crimes</w:t>
            </w:r>
          </w:p>
        </w:tc>
        <w:tc>
          <w:tcPr>
            <w:tcW w:w="1135" w:type="dxa"/>
            <w:tcBorders>
              <w:top w:val="nil"/>
              <w:left w:val="nil"/>
              <w:bottom w:val="single" w:sz="4" w:space="0" w:color="auto"/>
              <w:right w:val="single" w:sz="4" w:space="0" w:color="auto"/>
            </w:tcBorders>
            <w:shd w:val="clear" w:color="000000" w:fill="C4BD97"/>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8877</w:t>
            </w:r>
          </w:p>
        </w:tc>
        <w:tc>
          <w:tcPr>
            <w:tcW w:w="1148" w:type="dxa"/>
            <w:tcBorders>
              <w:top w:val="nil"/>
              <w:left w:val="nil"/>
              <w:bottom w:val="single" w:sz="8" w:space="0" w:color="auto"/>
              <w:right w:val="single" w:sz="4" w:space="0" w:color="auto"/>
            </w:tcBorders>
            <w:shd w:val="clear" w:color="000000" w:fill="948A5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8537</w:t>
            </w:r>
          </w:p>
        </w:tc>
        <w:tc>
          <w:tcPr>
            <w:tcW w:w="1405" w:type="dxa"/>
            <w:tcBorders>
              <w:top w:val="nil"/>
              <w:left w:val="nil"/>
              <w:bottom w:val="single" w:sz="8" w:space="0" w:color="auto"/>
              <w:right w:val="single" w:sz="4" w:space="0" w:color="auto"/>
            </w:tcBorders>
            <w:shd w:val="clear" w:color="000000" w:fill="948A5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4%</w:t>
            </w:r>
          </w:p>
        </w:tc>
        <w:tc>
          <w:tcPr>
            <w:tcW w:w="1057" w:type="dxa"/>
            <w:tcBorders>
              <w:top w:val="nil"/>
              <w:left w:val="nil"/>
              <w:bottom w:val="single" w:sz="8" w:space="0" w:color="auto"/>
              <w:right w:val="single" w:sz="4" w:space="0" w:color="auto"/>
            </w:tcBorders>
            <w:shd w:val="clear" w:color="000000" w:fill="DDD9C4"/>
            <w:noWrap/>
            <w:vAlign w:val="bottom"/>
            <w:hideMark/>
          </w:tcPr>
          <w:p w:rsidR="00B46EBC" w:rsidRDefault="00B46EBC">
            <w:pPr>
              <w:jc w:val="center"/>
              <w:rPr>
                <w:rFonts w:ascii="Calibri" w:hAnsi="Calibri" w:cs="Arial"/>
                <w:b/>
                <w:bCs/>
                <w:color w:val="000000"/>
                <w:sz w:val="32"/>
                <w:szCs w:val="32"/>
              </w:rPr>
            </w:pPr>
            <w:r>
              <w:rPr>
                <w:rFonts w:ascii="Calibri" w:hAnsi="Calibri" w:cs="Arial"/>
                <w:b/>
                <w:bCs/>
                <w:color w:val="000000"/>
                <w:sz w:val="32"/>
                <w:szCs w:val="32"/>
              </w:rPr>
              <w:t>7941</w:t>
            </w:r>
          </w:p>
        </w:tc>
        <w:tc>
          <w:tcPr>
            <w:tcW w:w="1249" w:type="dxa"/>
            <w:tcBorders>
              <w:top w:val="nil"/>
              <w:left w:val="nil"/>
              <w:bottom w:val="single" w:sz="8" w:space="0" w:color="auto"/>
              <w:right w:val="single" w:sz="8" w:space="0" w:color="auto"/>
            </w:tcBorders>
            <w:shd w:val="clear" w:color="000000" w:fill="DDD9C4"/>
            <w:noWrap/>
            <w:vAlign w:val="bottom"/>
            <w:hideMark/>
          </w:tcPr>
          <w:p w:rsidR="00B46EBC" w:rsidRDefault="00B46EBC">
            <w:pPr>
              <w:jc w:val="center"/>
              <w:rPr>
                <w:rFonts w:ascii="Calibri" w:hAnsi="Calibri" w:cs="Arial"/>
                <w:b/>
                <w:bCs/>
                <w:sz w:val="32"/>
                <w:szCs w:val="32"/>
              </w:rPr>
            </w:pPr>
            <w:r>
              <w:rPr>
                <w:rFonts w:ascii="Calibri" w:hAnsi="Calibri" w:cs="Arial"/>
                <w:b/>
                <w:bCs/>
                <w:sz w:val="32"/>
                <w:szCs w:val="32"/>
              </w:rPr>
              <w:t>12%</w:t>
            </w:r>
          </w:p>
        </w:tc>
      </w:tr>
    </w:tbl>
    <w:p w:rsidR="00FA41AC" w:rsidRDefault="00FA41AC" w:rsidP="006E1712">
      <w:pPr>
        <w:jc w:val="center"/>
        <w:outlineLvl w:val="0"/>
        <w:rPr>
          <w:sz w:val="22"/>
          <w:szCs w:val="22"/>
        </w:rPr>
      </w:pPr>
    </w:p>
    <w:p w:rsidR="00682C7B" w:rsidRDefault="00682C7B" w:rsidP="00FA41AC">
      <w:pPr>
        <w:outlineLvl w:val="0"/>
        <w:rPr>
          <w:sz w:val="22"/>
          <w:szCs w:val="22"/>
        </w:rPr>
      </w:pPr>
    </w:p>
    <w:p w:rsidR="00682C7B" w:rsidRDefault="00682C7B" w:rsidP="00FA41AC">
      <w:pPr>
        <w:outlineLvl w:val="0"/>
        <w:rPr>
          <w:b/>
          <w:sz w:val="28"/>
          <w:szCs w:val="28"/>
        </w:rPr>
      </w:pPr>
    </w:p>
    <w:p w:rsidR="00153F70" w:rsidRDefault="00BA56A3" w:rsidP="00AE3572">
      <w:pPr>
        <w:jc w:val="center"/>
        <w:outlineLvl w:val="0"/>
        <w:rPr>
          <w:b/>
        </w:rPr>
      </w:pPr>
      <w:r>
        <w:rPr>
          <w:b/>
          <w:sz w:val="28"/>
          <w:szCs w:val="28"/>
        </w:rPr>
        <w:lastRenderedPageBreak/>
        <w:t>Introduction</w:t>
      </w:r>
    </w:p>
    <w:p w:rsidR="00CE6AF7" w:rsidRDefault="00FE6F4E" w:rsidP="00CE6AF7">
      <w:pPr>
        <w:rPr>
          <w:b/>
        </w:rPr>
      </w:pPr>
      <w:r w:rsidRPr="00C968FF">
        <w:rPr>
          <w:color w:val="FF0000"/>
        </w:rPr>
        <w:tab/>
      </w:r>
    </w:p>
    <w:p w:rsidR="00CE6AF7" w:rsidRDefault="00CE6AF7" w:rsidP="00AE3572">
      <w:pPr>
        <w:outlineLvl w:val="0"/>
        <w:rPr>
          <w:b/>
        </w:rPr>
      </w:pPr>
      <w:r>
        <w:rPr>
          <w:b/>
        </w:rPr>
        <w:t>Data Source</w:t>
      </w:r>
    </w:p>
    <w:p w:rsidR="00CE6AF7" w:rsidRDefault="00CE6AF7" w:rsidP="00497B7E">
      <w:pPr>
        <w:jc w:val="both"/>
      </w:pPr>
      <w:r>
        <w:tab/>
        <w:t xml:space="preserve">On a national level, statistical information about crime is collected and reported in two ways. The first way is through the </w:t>
      </w:r>
      <w:r w:rsidRPr="001B2CDB">
        <w:rPr>
          <w:b/>
        </w:rPr>
        <w:t>Uniform Crime Reporting Program</w:t>
      </w:r>
      <w:r>
        <w:t xml:space="preserve">. </w:t>
      </w:r>
      <w:r>
        <w:rPr>
          <w:color w:val="000000"/>
        </w:rPr>
        <w:t>The UCR p</w:t>
      </w:r>
      <w:r w:rsidRPr="00C53390">
        <w:rPr>
          <w:color w:val="000000"/>
        </w:rPr>
        <w:t>rogram is a nationwide, cooperative statistical effort of more than 17,000 city, university and college, county, state, tribal, and federal law enforcement agencies voluntarily reporting data on crimes brought to their attention.</w:t>
      </w:r>
      <w:r w:rsidRPr="00C53390">
        <w:rPr>
          <w:rFonts w:ascii="Arial" w:hAnsi="Arial" w:cs="Arial"/>
          <w:color w:val="000000"/>
          <w:sz w:val="18"/>
          <w:szCs w:val="18"/>
        </w:rPr>
        <w:t xml:space="preserve"> </w:t>
      </w:r>
      <w:r w:rsidRPr="00C53390">
        <w:rPr>
          <w:color w:val="000000"/>
        </w:rPr>
        <w:t xml:space="preserve">Since 1930, the FBI has administered the UCR </w:t>
      </w:r>
      <w:r>
        <w:rPr>
          <w:color w:val="000000"/>
        </w:rPr>
        <w:t>p</w:t>
      </w:r>
      <w:r w:rsidRPr="00C53390">
        <w:rPr>
          <w:color w:val="000000"/>
        </w:rPr>
        <w:t>rogram and continued to assess and monitor the n</w:t>
      </w:r>
      <w:r>
        <w:rPr>
          <w:color w:val="000000"/>
        </w:rPr>
        <w:t>ature and type of crime in the nation. The p</w:t>
      </w:r>
      <w:r w:rsidRPr="00C53390">
        <w:rPr>
          <w:color w:val="000000"/>
        </w:rPr>
        <w:t>rogram's primary objective is to generate reliable information for use in law enforcement administration, operation, and management; however, its data ha</w:t>
      </w:r>
      <w:r>
        <w:rPr>
          <w:color w:val="000000"/>
        </w:rPr>
        <w:t>s</w:t>
      </w:r>
      <w:r w:rsidRPr="00C53390">
        <w:rPr>
          <w:color w:val="000000"/>
        </w:rPr>
        <w:t xml:space="preserve"> over the years become one of the country's leading social indicators. Criminologists, sociologists, legislators, municipal planners, the media, and other students of criminal justice use the data for varied research and planning purposes.</w:t>
      </w:r>
      <w:r>
        <w:tab/>
      </w:r>
    </w:p>
    <w:p w:rsidR="00CE6AF7" w:rsidRDefault="00CE6AF7" w:rsidP="00497B7E">
      <w:pPr>
        <w:ind w:firstLine="720"/>
        <w:jc w:val="both"/>
      </w:pPr>
      <w:r w:rsidRPr="00CB2525">
        <w:rPr>
          <w:i/>
        </w:rPr>
        <w:t xml:space="preserve">In 2010 the Gulfport Police Department became the first law enforcement agency in the state of Mississippi certified by the FBI to report crime statistics using the </w:t>
      </w:r>
      <w:r w:rsidRPr="00CB2525">
        <w:rPr>
          <w:b/>
          <w:i/>
        </w:rPr>
        <w:t>National Incident Based Reporting System or NIBRS</w:t>
      </w:r>
      <w:r w:rsidRPr="00CB2525">
        <w:rPr>
          <w:i/>
        </w:rPr>
        <w:t>.</w:t>
      </w:r>
      <w:r>
        <w:t xml:space="preserve">  This allows for a more timely reporting method that is software driven and reported directly to the FBI.  Based on this the Gulfport Police Department will be using NIBRS for all future crime reporting.  The crime numbers represented in this report were verified by the FBI on </w:t>
      </w:r>
      <w:r w:rsidR="0076526D">
        <w:rPr>
          <w:b/>
          <w:color w:val="000000" w:themeColor="text1"/>
        </w:rPr>
        <w:t>01/11</w:t>
      </w:r>
      <w:r w:rsidR="006555E2">
        <w:rPr>
          <w:b/>
          <w:color w:val="000000" w:themeColor="text1"/>
        </w:rPr>
        <w:t>/201</w:t>
      </w:r>
      <w:r w:rsidR="0076526D">
        <w:rPr>
          <w:b/>
          <w:color w:val="000000" w:themeColor="text1"/>
        </w:rPr>
        <w:t>7</w:t>
      </w:r>
      <w:r w:rsidR="000E2B14">
        <w:t>.  These are</w:t>
      </w:r>
      <w:r>
        <w:t xml:space="preserve"> </w:t>
      </w:r>
      <w:r w:rsidR="0024625D">
        <w:t>crimes reported in</w:t>
      </w:r>
      <w:r>
        <w:t xml:space="preserve"> 20</w:t>
      </w:r>
      <w:r w:rsidR="0076526D">
        <w:t>16</w:t>
      </w:r>
      <w:r>
        <w:t xml:space="preserve"> and, as investigations develop new information, are subject to change. </w:t>
      </w:r>
      <w:r w:rsidR="001A7376">
        <w:t xml:space="preserve"> </w:t>
      </w:r>
      <w:r w:rsidR="001A7376" w:rsidRPr="001A7376">
        <w:rPr>
          <w:i/>
        </w:rPr>
        <w:t>More information on NIBRS reporting can be found on the Gulfport Police Department website at</w:t>
      </w:r>
      <w:r w:rsidR="001A7376">
        <w:t xml:space="preserve"> </w:t>
      </w:r>
      <w:r w:rsidR="001A7376" w:rsidRPr="001A7376">
        <w:rPr>
          <w:b/>
          <w:u w:val="single"/>
        </w:rPr>
        <w:t>www.gulfportpolice.net</w:t>
      </w:r>
    </w:p>
    <w:p w:rsidR="00CE6AF7" w:rsidRDefault="00CE6AF7" w:rsidP="00497B7E">
      <w:pPr>
        <w:ind w:firstLine="720"/>
        <w:jc w:val="both"/>
      </w:pPr>
      <w:r>
        <w:t>While we recognize that many crimes go unreported to law enforcement authorities, on a local level, we do not have the resources to collect that data. As a result, the information in this report is based solely on crimes that were reported to the NIBR</w:t>
      </w:r>
      <w:r w:rsidR="001A7376">
        <w:t>S</w:t>
      </w:r>
      <w:r>
        <w:t xml:space="preserve"> program.</w:t>
      </w:r>
      <w:r w:rsidR="00EA5B7A">
        <w:t xml:space="preserve">  </w:t>
      </w:r>
      <w:r>
        <w:t xml:space="preserve"> </w:t>
      </w:r>
    </w:p>
    <w:p w:rsidR="00186F74" w:rsidRPr="00EA5B7A" w:rsidRDefault="00EA5B7A" w:rsidP="00497B7E">
      <w:pPr>
        <w:jc w:val="both"/>
      </w:pPr>
      <w:r>
        <w:rPr>
          <w:color w:val="FF0000"/>
        </w:rPr>
        <w:tab/>
      </w:r>
      <w:r>
        <w:t>Reports released by the Gulfport Police Department previously have been scored using the UCR program which is limited reporting information compared to NIBRS.  For this report we will compare the two major crime categories of Violent Crimes and Property Crimes</w:t>
      </w:r>
      <w:r w:rsidR="00F92F92">
        <w:t xml:space="preserve"> to previous periods</w:t>
      </w:r>
      <w:r>
        <w:t xml:space="preserve">.  </w:t>
      </w:r>
      <w:r w:rsidR="00F92F92">
        <w:t>Murder, Forcible Rape, Robbery, and Aggravated assault</w:t>
      </w:r>
      <w:r>
        <w:t xml:space="preserve"> will be </w:t>
      </w:r>
      <w:r w:rsidR="00F92F92">
        <w:t xml:space="preserve">considered as </w:t>
      </w:r>
      <w:r w:rsidR="00F42395">
        <w:t>violent</w:t>
      </w:r>
      <w:r w:rsidR="00F92F92">
        <w:t xml:space="preserve"> crimes. </w:t>
      </w:r>
      <w:r>
        <w:t xml:space="preserve">The category of Property crimes will contain Burglary, Larceny, and Auto theft.    </w:t>
      </w:r>
    </w:p>
    <w:p w:rsidR="00072288" w:rsidRDefault="00240A62" w:rsidP="00497B7E">
      <w:pPr>
        <w:ind w:firstLine="720"/>
        <w:jc w:val="both"/>
      </w:pPr>
      <w:r w:rsidRPr="00C65983">
        <w:rPr>
          <w:color w:val="000000" w:themeColor="text1"/>
        </w:rPr>
        <w:t xml:space="preserve">In this report the reader will find the use of Group A Crimes.  These have been defined by the FBI as:  </w:t>
      </w:r>
      <w:r w:rsidRPr="00C65983">
        <w:rPr>
          <w:i/>
          <w:color w:val="000000" w:themeColor="text1"/>
        </w:rPr>
        <w:t>Arson, Assault offenses, Bribery, Burglary/breaking and entering, Counterfeiting/forgery, Destruction/damage/vandalism of property, Drug/narcotic offenses, Embezzlement, Extortion/blackmail, Fraud offenses, Gambling o</w:t>
      </w:r>
      <w:r>
        <w:rPr>
          <w:i/>
          <w:color w:val="000000" w:themeColor="text1"/>
        </w:rPr>
        <w:t>ffenses, Homicide offenses, Kidn</w:t>
      </w:r>
      <w:r w:rsidRPr="00C65983">
        <w:rPr>
          <w:i/>
          <w:color w:val="000000" w:themeColor="text1"/>
        </w:rPr>
        <w:t>a</w:t>
      </w:r>
      <w:r>
        <w:rPr>
          <w:i/>
          <w:color w:val="000000" w:themeColor="text1"/>
        </w:rPr>
        <w:t>p</w:t>
      </w:r>
      <w:r w:rsidRPr="00C65983">
        <w:rPr>
          <w:i/>
          <w:color w:val="000000" w:themeColor="text1"/>
        </w:rPr>
        <w:t>ping/abduction, Larceny/theft offenses, Motor vehicle theft, Pornography/obscene material, Prostitution offenses, Robbery,</w:t>
      </w:r>
      <w:r w:rsidR="0029161B">
        <w:rPr>
          <w:i/>
          <w:color w:val="000000" w:themeColor="text1"/>
        </w:rPr>
        <w:t xml:space="preserve"> Sex offenses (forcible and non-</w:t>
      </w:r>
      <w:r w:rsidRPr="00C65983">
        <w:rPr>
          <w:i/>
          <w:color w:val="000000" w:themeColor="text1"/>
        </w:rPr>
        <w:t>forcible), Stolen property offenses, and Weapon law violations</w:t>
      </w:r>
      <w:r w:rsidRPr="00C65983">
        <w:rPr>
          <w:color w:val="000000" w:themeColor="text1"/>
        </w:rPr>
        <w:t>.</w:t>
      </w:r>
    </w:p>
    <w:p w:rsidR="00072288" w:rsidRDefault="00072288"/>
    <w:p w:rsidR="00072288" w:rsidRDefault="00072288"/>
    <w:p w:rsidR="00072288" w:rsidRDefault="00072288"/>
    <w:p w:rsidR="00072288" w:rsidRDefault="00072288"/>
    <w:p w:rsidR="00072288" w:rsidRDefault="00072288"/>
    <w:p w:rsidR="006D11CB" w:rsidRDefault="006D11CB"/>
    <w:p w:rsidR="00072288" w:rsidRDefault="00072288"/>
    <w:p w:rsidR="00072288" w:rsidRDefault="00072288"/>
    <w:p w:rsidR="00240A62" w:rsidRDefault="00240A62"/>
    <w:p w:rsidR="003256CD" w:rsidRDefault="003256CD"/>
    <w:p w:rsidR="00240A62" w:rsidRDefault="00213CF1">
      <w:pPr>
        <w:rPr>
          <w:b/>
          <w:i/>
          <w:u w:val="single"/>
        </w:rPr>
      </w:pPr>
      <w:r w:rsidRPr="007E3373">
        <w:rPr>
          <w:b/>
          <w:i/>
          <w:sz w:val="28"/>
          <w:u w:val="single"/>
        </w:rPr>
        <w:lastRenderedPageBreak/>
        <w:t>Group A Crimes</w:t>
      </w:r>
      <w:r w:rsidRPr="00213CF1">
        <w:rPr>
          <w:b/>
          <w:i/>
          <w:u w:val="single"/>
        </w:rPr>
        <w:t>:</w:t>
      </w:r>
    </w:p>
    <w:p w:rsidR="00EC3EDA" w:rsidRDefault="00EC3EDA">
      <w:pPr>
        <w:rPr>
          <w:b/>
          <w:i/>
          <w:u w:val="single"/>
        </w:rPr>
      </w:pPr>
    </w:p>
    <w:p w:rsidR="00435B2C" w:rsidRDefault="00EC3EDA">
      <w:r>
        <w:tab/>
      </w:r>
      <w:r w:rsidR="00B54886">
        <w:t>For the calendar year</w:t>
      </w:r>
      <w:r w:rsidR="00AC5B0B">
        <w:t xml:space="preserve"> of 2015</w:t>
      </w:r>
      <w:r>
        <w:t xml:space="preserve">, Group A crimes increased </w:t>
      </w:r>
      <w:r w:rsidR="004E0609">
        <w:rPr>
          <w:b/>
        </w:rPr>
        <w:t>4</w:t>
      </w:r>
      <w:r w:rsidRPr="00EC3EDA">
        <w:rPr>
          <w:b/>
        </w:rPr>
        <w:t>%</w:t>
      </w:r>
      <w:r w:rsidR="004E0609">
        <w:t xml:space="preserve"> from 2015</w:t>
      </w:r>
      <w:r w:rsidR="00AC5B0B">
        <w:t xml:space="preserve"> and also </w:t>
      </w:r>
      <w:r w:rsidR="004E0609">
        <w:rPr>
          <w:b/>
        </w:rPr>
        <w:t>12</w:t>
      </w:r>
      <w:r w:rsidR="00AC5B0B" w:rsidRPr="00993482">
        <w:rPr>
          <w:b/>
        </w:rPr>
        <w:t>%</w:t>
      </w:r>
      <w:r w:rsidR="00AC5B0B">
        <w:t xml:space="preserve"> when</w:t>
      </w:r>
      <w:r>
        <w:t xml:space="preserve"> compared to the previous 5 year average. </w:t>
      </w:r>
    </w:p>
    <w:p w:rsidR="00EC3EDA" w:rsidRPr="00EC3EDA" w:rsidRDefault="00EC3EDA">
      <w:r>
        <w:t xml:space="preserve"> </w:t>
      </w:r>
    </w:p>
    <w:tbl>
      <w:tblPr>
        <w:tblW w:w="9357" w:type="dxa"/>
        <w:tblInd w:w="93" w:type="dxa"/>
        <w:tblLook w:val="04A0" w:firstRow="1" w:lastRow="0" w:firstColumn="1" w:lastColumn="0" w:noHBand="0" w:noVBand="1"/>
      </w:tblPr>
      <w:tblGrid>
        <w:gridCol w:w="2091"/>
        <w:gridCol w:w="1656"/>
        <w:gridCol w:w="935"/>
        <w:gridCol w:w="935"/>
        <w:gridCol w:w="935"/>
        <w:gridCol w:w="935"/>
        <w:gridCol w:w="935"/>
        <w:gridCol w:w="935"/>
      </w:tblGrid>
      <w:tr w:rsidR="008F079A" w:rsidTr="00435B2C">
        <w:trPr>
          <w:trHeight w:val="326"/>
        </w:trPr>
        <w:tc>
          <w:tcPr>
            <w:tcW w:w="9357"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8F079A" w:rsidRDefault="008F079A" w:rsidP="00435B2C">
            <w:pPr>
              <w:ind w:right="-126"/>
              <w:jc w:val="center"/>
              <w:rPr>
                <w:rFonts w:ascii="Arial" w:hAnsi="Arial" w:cs="Arial"/>
                <w:b/>
                <w:bCs/>
              </w:rPr>
            </w:pPr>
            <w:r>
              <w:rPr>
                <w:rFonts w:ascii="Arial" w:hAnsi="Arial" w:cs="Arial"/>
                <w:b/>
                <w:bCs/>
              </w:rPr>
              <w:t>Group A Crimes</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5Yr Avg.</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2011</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2012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2013</w:t>
            </w:r>
          </w:p>
        </w:tc>
        <w:tc>
          <w:tcPr>
            <w:tcW w:w="935" w:type="dxa"/>
            <w:tcBorders>
              <w:top w:val="nil"/>
              <w:left w:val="nil"/>
              <w:bottom w:val="nil"/>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2014</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2015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2016</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January</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635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605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623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641</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575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732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614</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February</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532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545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483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537</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523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573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582</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March</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617</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576</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638</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552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608</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713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736</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April</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652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662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688</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625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615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668</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703</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May</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705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695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716</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700</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634</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782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816</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June</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676</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680</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671</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625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699</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705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777</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July</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704</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746</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657</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701</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686</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729</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830</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August</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728</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845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615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719</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696</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766</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799</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September</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673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724</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573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696</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680</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690</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822</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October</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712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722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565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708</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750</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815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680</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November</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634</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581</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740</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579</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617</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651</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775</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December</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673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632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648</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627</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743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713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sz w:val="20"/>
                <w:szCs w:val="20"/>
              </w:rPr>
            </w:pPr>
            <w:r>
              <w:rPr>
                <w:rFonts w:ascii="Arial" w:hAnsi="Arial" w:cs="Arial"/>
                <w:sz w:val="20"/>
                <w:szCs w:val="20"/>
              </w:rPr>
              <w:t>743</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Total</w:t>
            </w:r>
          </w:p>
        </w:tc>
        <w:tc>
          <w:tcPr>
            <w:tcW w:w="1656"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7941</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8013</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7617</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7710</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7826</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8537</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8877</w:t>
            </w:r>
          </w:p>
        </w:tc>
      </w:tr>
      <w:tr w:rsidR="00435B2C" w:rsidTr="00435B2C">
        <w:trPr>
          <w:trHeight w:val="326"/>
        </w:trPr>
        <w:tc>
          <w:tcPr>
            <w:tcW w:w="209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 of ∆</w:t>
            </w:r>
          </w:p>
        </w:tc>
        <w:tc>
          <w:tcPr>
            <w:tcW w:w="1656" w:type="dxa"/>
            <w:tcBorders>
              <w:top w:val="nil"/>
              <w:left w:val="nil"/>
              <w:bottom w:val="single" w:sz="4" w:space="0" w:color="auto"/>
              <w:right w:val="single" w:sz="4" w:space="0" w:color="auto"/>
            </w:tcBorders>
            <w:shd w:val="clear" w:color="000000" w:fill="000000"/>
            <w:noWrap/>
            <w:vAlign w:val="center"/>
            <w:hideMark/>
          </w:tcPr>
          <w:p w:rsidR="008F079A" w:rsidRDefault="008F079A" w:rsidP="00435B2C">
            <w:pPr>
              <w:jc w:val="center"/>
              <w:rPr>
                <w:rFonts w:ascii="Arial" w:hAnsi="Arial" w:cs="Arial"/>
                <w:sz w:val="20"/>
                <w:szCs w:val="20"/>
              </w:rPr>
            </w:pPr>
          </w:p>
        </w:tc>
        <w:tc>
          <w:tcPr>
            <w:tcW w:w="935" w:type="dxa"/>
            <w:tcBorders>
              <w:top w:val="nil"/>
              <w:left w:val="nil"/>
              <w:bottom w:val="single" w:sz="4" w:space="0" w:color="auto"/>
              <w:right w:val="single" w:sz="4" w:space="0" w:color="auto"/>
            </w:tcBorders>
            <w:shd w:val="clear" w:color="000000" w:fill="000000"/>
            <w:noWrap/>
            <w:vAlign w:val="center"/>
            <w:hideMark/>
          </w:tcPr>
          <w:p w:rsidR="008F079A" w:rsidRDefault="008F079A" w:rsidP="00435B2C">
            <w:pPr>
              <w:jc w:val="center"/>
              <w:rPr>
                <w:rFonts w:ascii="Arial" w:hAnsi="Arial" w:cs="Arial"/>
                <w:b/>
                <w:bCs/>
                <w:sz w:val="20"/>
                <w:szCs w:val="20"/>
              </w:rPr>
            </w:pP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-5%</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1%</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2%</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9%</w:t>
            </w:r>
          </w:p>
        </w:tc>
        <w:tc>
          <w:tcPr>
            <w:tcW w:w="935" w:type="dxa"/>
            <w:tcBorders>
              <w:top w:val="nil"/>
              <w:left w:val="nil"/>
              <w:bottom w:val="single" w:sz="4" w:space="0" w:color="auto"/>
              <w:right w:val="single" w:sz="4" w:space="0" w:color="auto"/>
            </w:tcBorders>
            <w:shd w:val="clear" w:color="auto" w:fill="auto"/>
            <w:noWrap/>
            <w:vAlign w:val="center"/>
            <w:hideMark/>
          </w:tcPr>
          <w:p w:rsidR="008F079A" w:rsidRDefault="008F079A" w:rsidP="00435B2C">
            <w:pPr>
              <w:jc w:val="center"/>
              <w:rPr>
                <w:rFonts w:ascii="Arial" w:hAnsi="Arial" w:cs="Arial"/>
                <w:b/>
                <w:bCs/>
                <w:sz w:val="20"/>
                <w:szCs w:val="20"/>
              </w:rPr>
            </w:pPr>
            <w:r>
              <w:rPr>
                <w:rFonts w:ascii="Arial" w:hAnsi="Arial" w:cs="Arial"/>
                <w:b/>
                <w:bCs/>
                <w:sz w:val="20"/>
                <w:szCs w:val="20"/>
              </w:rPr>
              <w:t>4%</w:t>
            </w:r>
          </w:p>
        </w:tc>
      </w:tr>
    </w:tbl>
    <w:p w:rsidR="00240A62" w:rsidRDefault="00240A62"/>
    <w:p w:rsidR="00240A62" w:rsidRDefault="00240A62"/>
    <w:p w:rsidR="00CB5DF1" w:rsidRDefault="00AC5B0B" w:rsidP="00AC5B0B">
      <w:pPr>
        <w:jc w:val="both"/>
        <w:rPr>
          <w:color w:val="000000" w:themeColor="text1"/>
          <w:sz w:val="20"/>
        </w:rPr>
      </w:pPr>
      <w:r w:rsidRPr="00AC5B0B">
        <w:rPr>
          <w:color w:val="000000" w:themeColor="text1"/>
          <w:sz w:val="20"/>
        </w:rPr>
        <w:t xml:space="preserve">Group A Crimes have been defined by the FBI as:  </w:t>
      </w:r>
      <w:r w:rsidRPr="00AC5B0B">
        <w:rPr>
          <w:i/>
          <w:color w:val="000000" w:themeColor="text1"/>
          <w:sz w:val="20"/>
        </w:rPr>
        <w:t>Arson, Assault offenses, Bribery, Burglary/breaking and entering, Counterfeiting/forgery, Destruction/damage/vandalism of property, Drug/narcotic offenses, Embezzlement, Extortion/blackmail, Fraud offenses, Gambling offenses, Homicide offenses, Kidnapping/abduction, Larceny/theft offenses, Motor vehicle theft, Pornography/obscene material, Prostitution offenses, Robbery,</w:t>
      </w:r>
      <w:r w:rsidR="00B46EBC">
        <w:rPr>
          <w:i/>
          <w:color w:val="000000" w:themeColor="text1"/>
          <w:sz w:val="20"/>
        </w:rPr>
        <w:t xml:space="preserve"> Sex offenses (forcible and non-</w:t>
      </w:r>
      <w:r w:rsidRPr="00AC5B0B">
        <w:rPr>
          <w:i/>
          <w:color w:val="000000" w:themeColor="text1"/>
          <w:sz w:val="20"/>
        </w:rPr>
        <w:t>forcible), Stolen property offenses, and Weapon law violations</w:t>
      </w:r>
      <w:r w:rsidRPr="00AC5B0B">
        <w:rPr>
          <w:color w:val="000000" w:themeColor="text1"/>
          <w:sz w:val="20"/>
        </w:rPr>
        <w:t>.</w:t>
      </w:r>
    </w:p>
    <w:p w:rsidR="00AC5B0B" w:rsidRPr="00AC5B0B" w:rsidRDefault="00AC5B0B" w:rsidP="00AC5B0B">
      <w:pPr>
        <w:jc w:val="both"/>
        <w:rPr>
          <w:sz w:val="20"/>
        </w:rPr>
      </w:pPr>
    </w:p>
    <w:p w:rsidR="002B2B3E" w:rsidRDefault="002B2B3E"/>
    <w:p w:rsidR="00240A62" w:rsidRDefault="008F079A" w:rsidP="00470B2F">
      <w:pPr>
        <w:jc w:val="both"/>
      </w:pPr>
      <w:r>
        <w:rPr>
          <w:noProof/>
        </w:rPr>
        <w:drawing>
          <wp:inline distT="0" distB="0" distL="0" distR="0" wp14:anchorId="2C77C94E" wp14:editId="2A49B04A">
            <wp:extent cx="5943600" cy="2228215"/>
            <wp:effectExtent l="0" t="0" r="19050" b="1968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55FB9" w:rsidRDefault="00155FB9" w:rsidP="00497B7E">
      <w:pPr>
        <w:jc w:val="both"/>
        <w:outlineLvl w:val="0"/>
        <w:rPr>
          <w:b/>
        </w:rPr>
      </w:pPr>
    </w:p>
    <w:p w:rsidR="00186F74" w:rsidRDefault="00186F74" w:rsidP="00497B7E">
      <w:pPr>
        <w:jc w:val="both"/>
        <w:outlineLvl w:val="0"/>
        <w:rPr>
          <w:b/>
        </w:rPr>
      </w:pPr>
      <w:r>
        <w:rPr>
          <w:b/>
        </w:rPr>
        <w:lastRenderedPageBreak/>
        <w:t>Factors Affecting Crime</w:t>
      </w:r>
    </w:p>
    <w:p w:rsidR="00186F74" w:rsidRDefault="00186F74" w:rsidP="00497B7E">
      <w:pPr>
        <w:jc w:val="both"/>
      </w:pPr>
      <w:r>
        <w:tab/>
      </w:r>
      <w:r w:rsidR="00FB3FAD">
        <w:t xml:space="preserve">It is generally assumed the reader of this report understands that many factors affect crime in a community. </w:t>
      </w:r>
      <w:r>
        <w:t xml:space="preserve"> </w:t>
      </w:r>
      <w:r w:rsidR="00FB3FAD">
        <w:t>Some factors which ar</w:t>
      </w:r>
      <w:r w:rsidR="001C7227">
        <w:t>e</w:t>
      </w:r>
      <w:r w:rsidR="00FB3FAD">
        <w:t xml:space="preserve"> know</w:t>
      </w:r>
      <w:r w:rsidR="008E4FA7">
        <w:t>n</w:t>
      </w:r>
      <w:r w:rsidR="00FB3FAD">
        <w:t xml:space="preserve"> to affect the volume and type of crime are:</w:t>
      </w:r>
    </w:p>
    <w:p w:rsidR="001C7227" w:rsidRDefault="001C7227" w:rsidP="00497B7E">
      <w:pPr>
        <w:jc w:val="both"/>
      </w:pPr>
    </w:p>
    <w:p w:rsidR="00FB3FAD" w:rsidRDefault="00FB3FAD" w:rsidP="00497B7E">
      <w:pPr>
        <w:numPr>
          <w:ilvl w:val="0"/>
          <w:numId w:val="1"/>
        </w:numPr>
        <w:jc w:val="both"/>
      </w:pPr>
      <w:r>
        <w:t>Population density</w:t>
      </w:r>
    </w:p>
    <w:p w:rsidR="00FB3FAD" w:rsidRDefault="00FB3FAD" w:rsidP="00497B7E">
      <w:pPr>
        <w:numPr>
          <w:ilvl w:val="0"/>
          <w:numId w:val="1"/>
        </w:numPr>
        <w:jc w:val="both"/>
      </w:pPr>
      <w:r>
        <w:t>Variations in composition of the population</w:t>
      </w:r>
    </w:p>
    <w:p w:rsidR="00FB3FAD" w:rsidRDefault="00FB3FAD" w:rsidP="00497B7E">
      <w:pPr>
        <w:numPr>
          <w:ilvl w:val="0"/>
          <w:numId w:val="1"/>
        </w:numPr>
        <w:jc w:val="both"/>
      </w:pPr>
      <w:r>
        <w:t>Stability of population with respect to resident’s mobility, commuting patterns, and transient factors.</w:t>
      </w:r>
    </w:p>
    <w:p w:rsidR="00FB3FAD" w:rsidRDefault="00FB3FAD" w:rsidP="00497B7E">
      <w:pPr>
        <w:numPr>
          <w:ilvl w:val="0"/>
          <w:numId w:val="1"/>
        </w:numPr>
        <w:jc w:val="both"/>
      </w:pPr>
      <w:r>
        <w:t>Economic conditions, including median income, poverty level, and job availability.</w:t>
      </w:r>
    </w:p>
    <w:p w:rsidR="00FB3FAD" w:rsidRDefault="00FB3FAD" w:rsidP="00497B7E">
      <w:pPr>
        <w:numPr>
          <w:ilvl w:val="0"/>
          <w:numId w:val="1"/>
        </w:numPr>
        <w:jc w:val="both"/>
      </w:pPr>
      <w:r>
        <w:t>Cultural factors and educational, recreational, and religious characteristics.</w:t>
      </w:r>
    </w:p>
    <w:p w:rsidR="00FB3FAD" w:rsidRDefault="00FB3FAD" w:rsidP="00497B7E">
      <w:pPr>
        <w:numPr>
          <w:ilvl w:val="0"/>
          <w:numId w:val="1"/>
        </w:numPr>
        <w:jc w:val="both"/>
      </w:pPr>
      <w:r>
        <w:t>Family conditions</w:t>
      </w:r>
      <w:r w:rsidR="001C7227">
        <w:t xml:space="preserve"> with respect to divorce and family cohesiveness.</w:t>
      </w:r>
    </w:p>
    <w:p w:rsidR="001C7227" w:rsidRDefault="001C7227" w:rsidP="00497B7E">
      <w:pPr>
        <w:numPr>
          <w:ilvl w:val="0"/>
          <w:numId w:val="1"/>
        </w:numPr>
        <w:jc w:val="both"/>
      </w:pPr>
      <w:r>
        <w:t>Effective strength of law enforcement agencies.</w:t>
      </w:r>
    </w:p>
    <w:p w:rsidR="001C7227" w:rsidRDefault="001C7227" w:rsidP="00497B7E">
      <w:pPr>
        <w:numPr>
          <w:ilvl w:val="0"/>
          <w:numId w:val="1"/>
        </w:numPr>
        <w:jc w:val="both"/>
      </w:pPr>
      <w:r>
        <w:t>Policies of other components of the criminal justice system.</w:t>
      </w:r>
    </w:p>
    <w:p w:rsidR="001C7227" w:rsidRDefault="001C7227" w:rsidP="00497B7E">
      <w:pPr>
        <w:numPr>
          <w:ilvl w:val="0"/>
          <w:numId w:val="1"/>
        </w:numPr>
        <w:jc w:val="both"/>
      </w:pPr>
      <w:r>
        <w:t>Citizens’ attitudes toward crime</w:t>
      </w:r>
    </w:p>
    <w:p w:rsidR="001C7227" w:rsidRDefault="001C7227" w:rsidP="00497B7E">
      <w:pPr>
        <w:numPr>
          <w:ilvl w:val="0"/>
          <w:numId w:val="1"/>
        </w:numPr>
        <w:jc w:val="both"/>
      </w:pPr>
      <w:r>
        <w:t>Crime reporting practices of the citizenry.</w:t>
      </w:r>
    </w:p>
    <w:p w:rsidR="001C7227" w:rsidRDefault="001C7227" w:rsidP="00497B7E">
      <w:pPr>
        <w:ind w:left="720"/>
        <w:jc w:val="both"/>
      </w:pPr>
    </w:p>
    <w:p w:rsidR="001C7227" w:rsidRDefault="001C7227" w:rsidP="00497B7E">
      <w:pPr>
        <w:jc w:val="both"/>
      </w:pPr>
      <w:r>
        <w:t xml:space="preserve">With regard to the effective strength of law enforcement, the reader should consider that an agency that significantly increases its enforcement efforts might see </w:t>
      </w:r>
      <w:r w:rsidR="006D25FB">
        <w:t>an</w:t>
      </w:r>
      <w:r>
        <w:t xml:space="preserve"> increase in reported crime instead of a decrease. </w:t>
      </w:r>
    </w:p>
    <w:p w:rsidR="001C7227" w:rsidRDefault="001C7227" w:rsidP="00497B7E">
      <w:pPr>
        <w:jc w:val="both"/>
      </w:pPr>
      <w:r>
        <w:tab/>
        <w:t>As a result of the numerous factors that affect reported crime, this report w</w:t>
      </w:r>
      <w:r w:rsidR="009663CC">
        <w:t xml:space="preserve">ill be limited to presenting only the numbers of specific crimes reported. We will not try to draw a correlation between the volume of crimes reported and any other social factor. Furthermore, the reader should use great caution against comparing crime trends presented in this report and those of other jurisdictions. Finally, the </w:t>
      </w:r>
      <w:r w:rsidR="00C53390">
        <w:t>differences in methodology for gathering data make</w:t>
      </w:r>
      <w:r w:rsidR="009663CC">
        <w:t xml:space="preserve"> it unwise to compare </w:t>
      </w:r>
      <w:r w:rsidR="00C53390">
        <w:t>the Uniform Crime Report to th</w:t>
      </w:r>
      <w:r w:rsidR="009663CC">
        <w:t>e Nati</w:t>
      </w:r>
      <w:r w:rsidR="00C53390">
        <w:t>onal Crime Victimization Survey.</w:t>
      </w:r>
      <w:r>
        <w:t xml:space="preserve"> </w:t>
      </w:r>
    </w:p>
    <w:p w:rsidR="00C53390" w:rsidRDefault="00C53390" w:rsidP="00497B7E">
      <w:pPr>
        <w:jc w:val="both"/>
      </w:pPr>
    </w:p>
    <w:p w:rsidR="00680906" w:rsidRDefault="00680906" w:rsidP="00497B7E">
      <w:pPr>
        <w:jc w:val="both"/>
      </w:pPr>
    </w:p>
    <w:p w:rsidR="00C53390" w:rsidRDefault="00C53390" w:rsidP="00497B7E">
      <w:pPr>
        <w:jc w:val="both"/>
        <w:outlineLvl w:val="0"/>
        <w:rPr>
          <w:b/>
        </w:rPr>
      </w:pPr>
      <w:r>
        <w:rPr>
          <w:b/>
        </w:rPr>
        <w:t xml:space="preserve">Intended Use </w:t>
      </w:r>
    </w:p>
    <w:p w:rsidR="00C53390" w:rsidRPr="00191775" w:rsidRDefault="00C53390" w:rsidP="00497B7E">
      <w:pPr>
        <w:jc w:val="both"/>
        <w:rPr>
          <w:b/>
          <w:i/>
        </w:rPr>
      </w:pPr>
      <w:r>
        <w:tab/>
        <w:t xml:space="preserve">The purpose of this report is to present the reader with a larger picture of crime as it is reported within the city limits of </w:t>
      </w:r>
      <w:smartTag w:uri="urn:schemas-microsoft-com:office:smarttags" w:element="place">
        <w:smartTag w:uri="urn:schemas-microsoft-com:office:smarttags" w:element="City">
          <w:r>
            <w:t>Gulfport</w:t>
          </w:r>
        </w:smartTag>
        <w:r>
          <w:t xml:space="preserve">, </w:t>
        </w:r>
        <w:smartTag w:uri="urn:schemas-microsoft-com:office:smarttags" w:element="State">
          <w:r>
            <w:t>MS</w:t>
          </w:r>
        </w:smartTag>
      </w:smartTag>
      <w:r>
        <w:t xml:space="preserve">. </w:t>
      </w:r>
      <w:r w:rsidRPr="00191775">
        <w:rPr>
          <w:b/>
          <w:i/>
        </w:rPr>
        <w:t>We will look specifically at pub</w:t>
      </w:r>
      <w:r w:rsidR="007E3373">
        <w:rPr>
          <w:b/>
          <w:i/>
        </w:rPr>
        <w:t>lic safety issues during</w:t>
      </w:r>
      <w:r w:rsidR="001B20F0">
        <w:rPr>
          <w:b/>
          <w:i/>
        </w:rPr>
        <w:t xml:space="preserve"> </w:t>
      </w:r>
      <w:r w:rsidRPr="00191775">
        <w:rPr>
          <w:b/>
          <w:i/>
        </w:rPr>
        <w:t>calendar year</w:t>
      </w:r>
      <w:r w:rsidR="00435B2C">
        <w:rPr>
          <w:b/>
          <w:i/>
        </w:rPr>
        <w:t xml:space="preserve"> 2016</w:t>
      </w:r>
      <w:r w:rsidRPr="00191775">
        <w:rPr>
          <w:b/>
          <w:i/>
        </w:rPr>
        <w:t xml:space="preserve"> and compare them to past periods. </w:t>
      </w:r>
    </w:p>
    <w:p w:rsidR="001C7227" w:rsidRDefault="001C7227" w:rsidP="00497B7E">
      <w:pPr>
        <w:jc w:val="both"/>
      </w:pPr>
      <w:r>
        <w:tab/>
      </w:r>
    </w:p>
    <w:p w:rsidR="00BA56A3" w:rsidRDefault="00BA56A3" w:rsidP="001C7227"/>
    <w:p w:rsidR="00BA56A3" w:rsidRDefault="00BA56A3" w:rsidP="001C7227"/>
    <w:p w:rsidR="00BA56A3" w:rsidRDefault="00BA56A3" w:rsidP="001C7227"/>
    <w:p w:rsidR="00BA56A3" w:rsidRDefault="00BA56A3" w:rsidP="001C7227"/>
    <w:p w:rsidR="00BA56A3" w:rsidRDefault="00BA56A3" w:rsidP="001C7227"/>
    <w:p w:rsidR="00BA56A3" w:rsidRDefault="00BA56A3" w:rsidP="001C7227"/>
    <w:p w:rsidR="00BA56A3" w:rsidRDefault="00BA56A3" w:rsidP="001C7227"/>
    <w:p w:rsidR="00BA56A3" w:rsidRDefault="00BA56A3" w:rsidP="001C7227"/>
    <w:p w:rsidR="001A135E" w:rsidRDefault="001A135E" w:rsidP="001A135E"/>
    <w:p w:rsidR="001A135E" w:rsidRDefault="001A135E" w:rsidP="001A135E"/>
    <w:p w:rsidR="00D6411A" w:rsidRDefault="00D6411A" w:rsidP="001A135E"/>
    <w:p w:rsidR="00D6411A" w:rsidRDefault="00D6411A" w:rsidP="001A135E"/>
    <w:p w:rsidR="00E600F4" w:rsidRDefault="00E600F4" w:rsidP="00AE3572">
      <w:pPr>
        <w:outlineLvl w:val="0"/>
        <w:rPr>
          <w:b/>
          <w:i/>
          <w:sz w:val="28"/>
          <w:szCs w:val="28"/>
          <w:u w:val="single"/>
        </w:rPr>
      </w:pPr>
      <w:r w:rsidRPr="008A1D45">
        <w:rPr>
          <w:b/>
          <w:i/>
          <w:sz w:val="28"/>
          <w:szCs w:val="28"/>
          <w:u w:val="single"/>
        </w:rPr>
        <w:lastRenderedPageBreak/>
        <w:t>Violent Crimes</w:t>
      </w:r>
      <w:r>
        <w:rPr>
          <w:b/>
          <w:i/>
          <w:sz w:val="28"/>
          <w:szCs w:val="28"/>
          <w:u w:val="single"/>
        </w:rPr>
        <w:t>:</w:t>
      </w:r>
    </w:p>
    <w:p w:rsidR="00D6411A" w:rsidRDefault="00D6411A" w:rsidP="001A135E"/>
    <w:p w:rsidR="00E600F4" w:rsidRDefault="00E600F4" w:rsidP="001A135E"/>
    <w:p w:rsidR="00E600F4" w:rsidRDefault="008F079A" w:rsidP="00BA4FFB">
      <w:pPr>
        <w:jc w:val="center"/>
      </w:pPr>
      <w:r>
        <w:rPr>
          <w:noProof/>
        </w:rPr>
        <w:drawing>
          <wp:inline distT="0" distB="0" distL="0" distR="0" wp14:anchorId="1F63B929" wp14:editId="088E8B11">
            <wp:extent cx="4806092" cy="3204636"/>
            <wp:effectExtent l="0" t="0" r="13970" b="1524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868B5" w:rsidRDefault="003868B5" w:rsidP="005B332A">
      <w:pPr>
        <w:jc w:val="center"/>
        <w:rPr>
          <w:b/>
          <w:sz w:val="32"/>
          <w:szCs w:val="32"/>
        </w:rPr>
      </w:pPr>
    </w:p>
    <w:p w:rsidR="0065706F" w:rsidRDefault="0065706F" w:rsidP="003868B5">
      <w:pPr>
        <w:rPr>
          <w:sz w:val="32"/>
          <w:szCs w:val="32"/>
        </w:rPr>
      </w:pPr>
    </w:p>
    <w:p w:rsidR="0065706F" w:rsidRDefault="0065706F" w:rsidP="003868B5">
      <w:pPr>
        <w:rPr>
          <w:sz w:val="32"/>
          <w:szCs w:val="32"/>
        </w:rPr>
      </w:pPr>
    </w:p>
    <w:p w:rsidR="003868B5" w:rsidRDefault="003868B5" w:rsidP="00AE3572">
      <w:pPr>
        <w:outlineLvl w:val="0"/>
        <w:rPr>
          <w:b/>
        </w:rPr>
      </w:pPr>
      <w:r>
        <w:rPr>
          <w:b/>
        </w:rPr>
        <w:t>Definitions</w:t>
      </w:r>
    </w:p>
    <w:p w:rsidR="003868B5" w:rsidRDefault="003868B5" w:rsidP="003868B5">
      <w:pPr>
        <w:rPr>
          <w:b/>
        </w:rPr>
      </w:pPr>
    </w:p>
    <w:p w:rsidR="003868B5" w:rsidRDefault="003868B5" w:rsidP="003868B5">
      <w:r>
        <w:tab/>
        <w:t>Violent c</w:t>
      </w:r>
      <w:r w:rsidR="0071736B">
        <w:t>rime is comprised of four offens</w:t>
      </w:r>
      <w:r>
        <w:t xml:space="preserve">es: </w:t>
      </w:r>
    </w:p>
    <w:p w:rsidR="003868B5" w:rsidRDefault="003868B5" w:rsidP="003868B5">
      <w:pPr>
        <w:numPr>
          <w:ilvl w:val="0"/>
          <w:numId w:val="2"/>
        </w:numPr>
      </w:pPr>
      <w:r>
        <w:t>Murder and non-negligent homici</w:t>
      </w:r>
      <w:r w:rsidR="00E93E9C">
        <w:t>de</w:t>
      </w:r>
      <w:r>
        <w:t xml:space="preserve"> </w:t>
      </w:r>
    </w:p>
    <w:p w:rsidR="003868B5" w:rsidRDefault="00E93E9C" w:rsidP="003868B5">
      <w:pPr>
        <w:numPr>
          <w:ilvl w:val="0"/>
          <w:numId w:val="2"/>
        </w:numPr>
      </w:pPr>
      <w:r>
        <w:t>Forcible rape</w:t>
      </w:r>
      <w:r w:rsidR="003868B5">
        <w:t xml:space="preserve"> </w:t>
      </w:r>
    </w:p>
    <w:p w:rsidR="003868B5" w:rsidRDefault="00E93E9C" w:rsidP="003868B5">
      <w:pPr>
        <w:numPr>
          <w:ilvl w:val="0"/>
          <w:numId w:val="2"/>
        </w:numPr>
      </w:pPr>
      <w:r>
        <w:t>Robbery</w:t>
      </w:r>
    </w:p>
    <w:p w:rsidR="003868B5" w:rsidRDefault="00E93E9C" w:rsidP="003868B5">
      <w:pPr>
        <w:numPr>
          <w:ilvl w:val="0"/>
          <w:numId w:val="2"/>
        </w:numPr>
      </w:pPr>
      <w:r>
        <w:t>Aggravated assault</w:t>
      </w:r>
      <w:r w:rsidR="003868B5">
        <w:t xml:space="preserve"> </w:t>
      </w:r>
    </w:p>
    <w:p w:rsidR="005B1ABC" w:rsidRDefault="005B1ABC" w:rsidP="005B1ABC"/>
    <w:p w:rsidR="005B1ABC" w:rsidRDefault="005B1ABC" w:rsidP="005B1ABC"/>
    <w:p w:rsidR="001A7376" w:rsidRDefault="001A7376" w:rsidP="005B1ABC"/>
    <w:p w:rsidR="000C2AF2" w:rsidRDefault="000C2AF2" w:rsidP="005B1ABC"/>
    <w:p w:rsidR="000C2AF2" w:rsidRDefault="000C2AF2" w:rsidP="005B1ABC"/>
    <w:p w:rsidR="000C2AF2" w:rsidRDefault="000C2AF2" w:rsidP="005B1ABC"/>
    <w:p w:rsidR="000C2AF2" w:rsidRDefault="000C2AF2" w:rsidP="005B1ABC"/>
    <w:p w:rsidR="000C2AF2" w:rsidRDefault="000C2AF2" w:rsidP="005B1ABC"/>
    <w:p w:rsidR="001A7376" w:rsidRDefault="001A7376" w:rsidP="005B1ABC"/>
    <w:p w:rsidR="001A7376" w:rsidRDefault="001A7376" w:rsidP="005B1ABC"/>
    <w:p w:rsidR="00240A62" w:rsidRDefault="00240A62" w:rsidP="005B1ABC"/>
    <w:p w:rsidR="001A7376" w:rsidRDefault="001A7376" w:rsidP="005B1ABC"/>
    <w:p w:rsidR="0065706F" w:rsidRDefault="0065706F" w:rsidP="00710228">
      <w:pPr>
        <w:rPr>
          <w:noProof/>
        </w:rPr>
      </w:pPr>
    </w:p>
    <w:p w:rsidR="003868B5" w:rsidRPr="00CE6AF7" w:rsidRDefault="008A1D45" w:rsidP="00AE3572">
      <w:pPr>
        <w:outlineLvl w:val="0"/>
        <w:rPr>
          <w:b/>
          <w:i/>
          <w:sz w:val="28"/>
          <w:szCs w:val="28"/>
        </w:rPr>
      </w:pPr>
      <w:r w:rsidRPr="008A1D45">
        <w:rPr>
          <w:b/>
          <w:i/>
          <w:sz w:val="28"/>
          <w:szCs w:val="28"/>
          <w:u w:val="single"/>
        </w:rPr>
        <w:t>Violent Crimes</w:t>
      </w:r>
      <w:r w:rsidR="00CE6AF7">
        <w:rPr>
          <w:b/>
          <w:i/>
          <w:sz w:val="28"/>
          <w:szCs w:val="28"/>
          <w:u w:val="single"/>
        </w:rPr>
        <w:t>:</w:t>
      </w:r>
      <w:r w:rsidR="000C2AF2">
        <w:rPr>
          <w:b/>
          <w:i/>
          <w:sz w:val="28"/>
          <w:szCs w:val="28"/>
        </w:rPr>
        <w:t xml:space="preserve"> </w:t>
      </w:r>
      <w:r w:rsidR="000C2AF2">
        <w:rPr>
          <w:i/>
          <w:sz w:val="18"/>
          <w:szCs w:val="18"/>
        </w:rPr>
        <w:t>(Homicide,</w:t>
      </w:r>
      <w:r w:rsidR="00CE6AF7" w:rsidRPr="00CE6AF7">
        <w:rPr>
          <w:i/>
          <w:sz w:val="18"/>
          <w:szCs w:val="18"/>
        </w:rPr>
        <w:t xml:space="preserve"> Forcible Rape, Robbery, and Aggravated Assault</w:t>
      </w:r>
      <w:r w:rsidR="00CE6AF7">
        <w:rPr>
          <w:b/>
          <w:i/>
          <w:sz w:val="28"/>
          <w:szCs w:val="28"/>
        </w:rPr>
        <w:t>)</w:t>
      </w:r>
    </w:p>
    <w:p w:rsidR="008A1D45" w:rsidRPr="008A1D45" w:rsidRDefault="008A1D45" w:rsidP="00E14F60">
      <w:pPr>
        <w:rPr>
          <w:b/>
          <w:i/>
          <w:sz w:val="28"/>
          <w:szCs w:val="28"/>
          <w:u w:val="single"/>
        </w:rPr>
      </w:pPr>
    </w:p>
    <w:p w:rsidR="00AC4F74" w:rsidRDefault="00AE3572" w:rsidP="00AE3572">
      <w:pPr>
        <w:jc w:val="both"/>
      </w:pPr>
      <w:r>
        <w:t xml:space="preserve">     </w:t>
      </w:r>
      <w:r w:rsidR="00BF13C4" w:rsidRPr="00433087">
        <w:t>Dur</w:t>
      </w:r>
      <w:r w:rsidR="00BF482E" w:rsidRPr="00433087">
        <w:t xml:space="preserve">ing </w:t>
      </w:r>
      <w:r w:rsidR="004E0609">
        <w:t>2016</w:t>
      </w:r>
      <w:r w:rsidR="003868B5" w:rsidRPr="00433087">
        <w:t xml:space="preserve"> violent crimes</w:t>
      </w:r>
      <w:r w:rsidR="00CD14B2" w:rsidRPr="00433087">
        <w:t>, as defined in this report,</w:t>
      </w:r>
      <w:r w:rsidR="003868B5" w:rsidRPr="00433087">
        <w:t xml:space="preserve"> comprised only </w:t>
      </w:r>
      <w:r w:rsidR="004E0609">
        <w:rPr>
          <w:b/>
        </w:rPr>
        <w:t>3</w:t>
      </w:r>
      <w:r w:rsidR="003868B5" w:rsidRPr="00EF3446">
        <w:rPr>
          <w:b/>
        </w:rPr>
        <w:t>%</w:t>
      </w:r>
      <w:r w:rsidR="003868B5" w:rsidRPr="00433087">
        <w:rPr>
          <w:b/>
        </w:rPr>
        <w:t xml:space="preserve"> </w:t>
      </w:r>
      <w:r w:rsidR="003868B5" w:rsidRPr="00433087">
        <w:t xml:space="preserve">of all reported </w:t>
      </w:r>
      <w:r w:rsidR="00CE6AF7" w:rsidRPr="00433087">
        <w:t>Group A crimes.</w:t>
      </w:r>
      <w:r w:rsidR="00CE6AF7" w:rsidRPr="00433087">
        <w:rPr>
          <w:color w:val="FF0000"/>
        </w:rPr>
        <w:t xml:space="preserve"> </w:t>
      </w:r>
      <w:r w:rsidR="003868B5" w:rsidRPr="00433087">
        <w:rPr>
          <w:color w:val="FF0000"/>
        </w:rPr>
        <w:t xml:space="preserve"> </w:t>
      </w:r>
      <w:r w:rsidR="009348F5" w:rsidRPr="00433087">
        <w:t xml:space="preserve">When viewed together, violent crimes were </w:t>
      </w:r>
      <w:r w:rsidR="00AC5B0B">
        <w:t>up</w:t>
      </w:r>
      <w:r w:rsidR="009348F5" w:rsidRPr="00433087">
        <w:t xml:space="preserve"> </w:t>
      </w:r>
      <w:r w:rsidR="00B54886">
        <w:rPr>
          <w:b/>
        </w:rPr>
        <w:t>1</w:t>
      </w:r>
      <w:r w:rsidR="004E0609">
        <w:rPr>
          <w:b/>
        </w:rPr>
        <w:t>2</w:t>
      </w:r>
      <w:r w:rsidR="009348F5" w:rsidRPr="00433087">
        <w:rPr>
          <w:b/>
        </w:rPr>
        <w:t>%</w:t>
      </w:r>
      <w:r w:rsidR="009348F5" w:rsidRPr="00433087">
        <w:t xml:space="preserve"> compared to </w:t>
      </w:r>
      <w:r w:rsidR="00433087">
        <w:t>201</w:t>
      </w:r>
      <w:r w:rsidR="004E0609">
        <w:t>5</w:t>
      </w:r>
      <w:r w:rsidR="00AC5B0B">
        <w:t xml:space="preserve"> and increased</w:t>
      </w:r>
      <w:r w:rsidR="009348F5" w:rsidRPr="00433087">
        <w:t xml:space="preserve"> </w:t>
      </w:r>
      <w:r w:rsidR="004E0609">
        <w:rPr>
          <w:b/>
        </w:rPr>
        <w:t>22</w:t>
      </w:r>
      <w:r w:rsidR="009348F5" w:rsidRPr="00433087">
        <w:rPr>
          <w:b/>
        </w:rPr>
        <w:t>%</w:t>
      </w:r>
      <w:r w:rsidR="009348F5" w:rsidRPr="00433087">
        <w:t xml:space="preserve"> compared to the </w:t>
      </w:r>
      <w:r w:rsidR="00EC1DAB" w:rsidRPr="00433087">
        <w:t xml:space="preserve">previous </w:t>
      </w:r>
      <w:r w:rsidR="009348F5" w:rsidRPr="00433087">
        <w:t>five-year average.</w:t>
      </w:r>
    </w:p>
    <w:p w:rsidR="00435B2C" w:rsidRDefault="00435B2C" w:rsidP="00AE3572">
      <w:pPr>
        <w:jc w:val="both"/>
      </w:pPr>
    </w:p>
    <w:tbl>
      <w:tblPr>
        <w:tblW w:w="9437" w:type="dxa"/>
        <w:tblInd w:w="93" w:type="dxa"/>
        <w:tblLook w:val="04A0" w:firstRow="1" w:lastRow="0" w:firstColumn="1" w:lastColumn="0" w:noHBand="0" w:noVBand="1"/>
      </w:tblPr>
      <w:tblGrid>
        <w:gridCol w:w="2101"/>
        <w:gridCol w:w="1663"/>
        <w:gridCol w:w="938"/>
        <w:gridCol w:w="982"/>
        <w:gridCol w:w="938"/>
        <w:gridCol w:w="938"/>
        <w:gridCol w:w="938"/>
        <w:gridCol w:w="939"/>
      </w:tblGrid>
      <w:tr w:rsidR="008F079A" w:rsidTr="00435B2C">
        <w:trPr>
          <w:trHeight w:val="343"/>
        </w:trPr>
        <w:tc>
          <w:tcPr>
            <w:tcW w:w="9437" w:type="dxa"/>
            <w:gridSpan w:val="8"/>
            <w:tcBorders>
              <w:top w:val="single" w:sz="4" w:space="0" w:color="auto"/>
              <w:left w:val="single" w:sz="4" w:space="0" w:color="auto"/>
              <w:bottom w:val="single" w:sz="4" w:space="0" w:color="auto"/>
              <w:right w:val="single" w:sz="4" w:space="0" w:color="000000"/>
            </w:tcBorders>
            <w:shd w:val="clear" w:color="000000" w:fill="C4BD97"/>
            <w:noWrap/>
            <w:vAlign w:val="bottom"/>
            <w:hideMark/>
          </w:tcPr>
          <w:p w:rsidR="008F079A" w:rsidRDefault="008F079A">
            <w:pPr>
              <w:jc w:val="center"/>
              <w:rPr>
                <w:rFonts w:ascii="Arial" w:hAnsi="Arial" w:cs="Arial"/>
                <w:b/>
                <w:bCs/>
              </w:rPr>
            </w:pPr>
            <w:r>
              <w:rPr>
                <w:rFonts w:ascii="Arial" w:hAnsi="Arial" w:cs="Arial"/>
                <w:b/>
                <w:bCs/>
              </w:rPr>
              <w:t>Violent Crimes</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sz w:val="20"/>
                <w:szCs w:val="20"/>
              </w:rPr>
            </w:pPr>
            <w:r>
              <w:rPr>
                <w:rFonts w:ascii="Arial" w:hAnsi="Arial" w:cs="Arial"/>
                <w:sz w:val="20"/>
                <w:szCs w:val="20"/>
              </w:rPr>
              <w:t> </w:t>
            </w:r>
          </w:p>
        </w:tc>
        <w:tc>
          <w:tcPr>
            <w:tcW w:w="166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5Yr Avg.</w:t>
            </w:r>
          </w:p>
        </w:tc>
        <w:tc>
          <w:tcPr>
            <w:tcW w:w="938" w:type="dxa"/>
            <w:tcBorders>
              <w:top w:val="nil"/>
              <w:left w:val="nil"/>
              <w:bottom w:val="nil"/>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2011</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2016</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January</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16</w:t>
            </w:r>
          </w:p>
        </w:tc>
        <w:tc>
          <w:tcPr>
            <w:tcW w:w="938" w:type="dxa"/>
            <w:tcBorders>
              <w:top w:val="single" w:sz="4" w:space="0" w:color="auto"/>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22</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February</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13</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11</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March</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12</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19</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13</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30</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April</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12</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13</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May</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22</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June</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13</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22</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July</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21</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August</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28</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September</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17</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October</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19</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18</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November</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13</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18</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23</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December</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22</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Total</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182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195</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153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182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181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199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222</w:t>
            </w:r>
          </w:p>
        </w:tc>
      </w:tr>
      <w:tr w:rsidR="008F079A" w:rsidTr="00435B2C">
        <w:trPr>
          <w:trHeight w:val="277"/>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 of ∆</w:t>
            </w:r>
          </w:p>
        </w:tc>
        <w:tc>
          <w:tcPr>
            <w:tcW w:w="1663" w:type="dxa"/>
            <w:tcBorders>
              <w:top w:val="nil"/>
              <w:left w:val="nil"/>
              <w:bottom w:val="single" w:sz="4" w:space="0" w:color="auto"/>
              <w:right w:val="single" w:sz="4" w:space="0" w:color="auto"/>
            </w:tcBorders>
            <w:shd w:val="clear" w:color="000000" w:fill="000000"/>
            <w:noWrap/>
            <w:vAlign w:val="bottom"/>
            <w:hideMark/>
          </w:tcPr>
          <w:p w:rsidR="008F079A" w:rsidRDefault="008F079A">
            <w:pPr>
              <w:rPr>
                <w:rFonts w:ascii="Arial" w:hAnsi="Arial" w:cs="Arial"/>
                <w:sz w:val="20"/>
                <w:szCs w:val="20"/>
              </w:rPr>
            </w:pPr>
            <w:r>
              <w:rPr>
                <w:rFonts w:ascii="Arial" w:hAnsi="Arial" w:cs="Arial"/>
                <w:sz w:val="20"/>
                <w:szCs w:val="20"/>
              </w:rPr>
              <w:t> </w:t>
            </w:r>
          </w:p>
        </w:tc>
        <w:tc>
          <w:tcPr>
            <w:tcW w:w="938"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-22%</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19%</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10%</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12%</w:t>
            </w:r>
          </w:p>
        </w:tc>
      </w:tr>
    </w:tbl>
    <w:p w:rsidR="00FC513D" w:rsidRDefault="00FC513D" w:rsidP="003868B5"/>
    <w:p w:rsidR="005936C9" w:rsidRDefault="005936C9" w:rsidP="003868B5"/>
    <w:p w:rsidR="007439DE" w:rsidRDefault="009348F5" w:rsidP="008D62AE">
      <w:pPr>
        <w:ind w:firstLine="720"/>
        <w:rPr>
          <w:color w:val="000000" w:themeColor="text1"/>
        </w:rPr>
      </w:pPr>
      <w:r w:rsidRPr="00DC103D">
        <w:rPr>
          <w:color w:val="000000" w:themeColor="text1"/>
        </w:rPr>
        <w:t xml:space="preserve">The 24 month chart below shows </w:t>
      </w:r>
      <w:r w:rsidR="007439DE" w:rsidRPr="00DC103D">
        <w:rPr>
          <w:color w:val="000000" w:themeColor="text1"/>
        </w:rPr>
        <w:t>a</w:t>
      </w:r>
      <w:r w:rsidR="00993482">
        <w:rPr>
          <w:color w:val="000000" w:themeColor="text1"/>
        </w:rPr>
        <w:t xml:space="preserve"> </w:t>
      </w:r>
      <w:r w:rsidR="00177665">
        <w:rPr>
          <w:color w:val="000000" w:themeColor="text1"/>
        </w:rPr>
        <w:t xml:space="preserve">slight </w:t>
      </w:r>
      <w:r w:rsidR="00B54886">
        <w:rPr>
          <w:color w:val="000000" w:themeColor="text1"/>
        </w:rPr>
        <w:t>up</w:t>
      </w:r>
      <w:r w:rsidR="00240A62">
        <w:rPr>
          <w:color w:val="000000" w:themeColor="text1"/>
        </w:rPr>
        <w:t>ward</w:t>
      </w:r>
      <w:r w:rsidR="007439DE" w:rsidRPr="00DC103D">
        <w:rPr>
          <w:color w:val="000000" w:themeColor="text1"/>
        </w:rPr>
        <w:t xml:space="preserve"> trend during the past 24 months in Violent Crimes overall in the City of Gulfport</w:t>
      </w:r>
      <w:r w:rsidRPr="00DC103D">
        <w:rPr>
          <w:color w:val="000000" w:themeColor="text1"/>
        </w:rPr>
        <w:t xml:space="preserve">. </w:t>
      </w:r>
    </w:p>
    <w:p w:rsidR="0076526D" w:rsidRDefault="0076526D" w:rsidP="008D62AE">
      <w:pPr>
        <w:ind w:firstLine="720"/>
        <w:rPr>
          <w:color w:val="000000" w:themeColor="text1"/>
        </w:rPr>
      </w:pPr>
    </w:p>
    <w:p w:rsidR="0026444D" w:rsidRDefault="0026444D" w:rsidP="008D62AE">
      <w:pPr>
        <w:ind w:firstLine="720"/>
        <w:rPr>
          <w:color w:val="000000" w:themeColor="text1"/>
        </w:rPr>
      </w:pPr>
    </w:p>
    <w:p w:rsidR="00CB5DF1" w:rsidRDefault="0076526D" w:rsidP="0076526D">
      <w:pPr>
        <w:rPr>
          <w:color w:val="000000" w:themeColor="text1"/>
        </w:rPr>
      </w:pPr>
      <w:r>
        <w:rPr>
          <w:noProof/>
        </w:rPr>
        <w:drawing>
          <wp:inline distT="0" distB="0" distL="0" distR="0" wp14:anchorId="4D01B7C8" wp14:editId="353A5BBA">
            <wp:extent cx="5943600" cy="2457450"/>
            <wp:effectExtent l="0" t="0" r="19050" b="1905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6526D" w:rsidRDefault="0076526D" w:rsidP="0076526D">
      <w:pPr>
        <w:rPr>
          <w:color w:val="000000" w:themeColor="text1"/>
        </w:rPr>
      </w:pPr>
    </w:p>
    <w:p w:rsidR="00274DB0" w:rsidRDefault="00274DB0" w:rsidP="00AE3572">
      <w:pPr>
        <w:outlineLvl w:val="0"/>
        <w:rPr>
          <w:color w:val="000000" w:themeColor="text1"/>
        </w:rPr>
      </w:pPr>
    </w:p>
    <w:p w:rsidR="008E7D9D" w:rsidRPr="00393AAF" w:rsidRDefault="0063452E" w:rsidP="00AE3572">
      <w:pPr>
        <w:outlineLvl w:val="0"/>
        <w:rPr>
          <w:b/>
          <w:bCs/>
          <w:i/>
          <w:sz w:val="28"/>
          <w:szCs w:val="28"/>
          <w:u w:val="single"/>
        </w:rPr>
      </w:pPr>
      <w:r w:rsidRPr="00393AAF">
        <w:rPr>
          <w:b/>
          <w:bCs/>
          <w:i/>
          <w:sz w:val="28"/>
          <w:szCs w:val="28"/>
          <w:u w:val="single"/>
        </w:rPr>
        <w:t>Homicide</w:t>
      </w:r>
      <w:r w:rsidR="003A5D63">
        <w:rPr>
          <w:b/>
          <w:bCs/>
          <w:i/>
          <w:sz w:val="28"/>
          <w:szCs w:val="28"/>
          <w:u w:val="single"/>
        </w:rPr>
        <w:t>:</w:t>
      </w:r>
    </w:p>
    <w:p w:rsidR="0063452E" w:rsidRPr="008E7D9D" w:rsidRDefault="0063452E" w:rsidP="008E7D9D">
      <w:pPr>
        <w:rPr>
          <w:b/>
        </w:rPr>
      </w:pPr>
    </w:p>
    <w:p w:rsidR="00830550" w:rsidRDefault="00830550" w:rsidP="00AE3572">
      <w:pPr>
        <w:jc w:val="both"/>
      </w:pPr>
      <w:r>
        <w:lastRenderedPageBreak/>
        <w:tab/>
      </w:r>
      <w:r w:rsidR="00274399">
        <w:t>Homicides</w:t>
      </w:r>
      <w:r>
        <w:t xml:space="preserve"> during </w:t>
      </w:r>
      <w:r w:rsidR="003A5D63">
        <w:t>20</w:t>
      </w:r>
      <w:r w:rsidR="004F6595">
        <w:t>1</w:t>
      </w:r>
      <w:r w:rsidR="004E0609">
        <w:t>6</w:t>
      </w:r>
      <w:r w:rsidR="003A5D63">
        <w:t xml:space="preserve"> </w:t>
      </w:r>
      <w:r w:rsidR="00B54886">
        <w:t xml:space="preserve">increased </w:t>
      </w:r>
      <w:r w:rsidR="004E0609">
        <w:rPr>
          <w:b/>
        </w:rPr>
        <w:t>25</w:t>
      </w:r>
      <w:r w:rsidR="00177665" w:rsidRPr="00177665">
        <w:rPr>
          <w:b/>
        </w:rPr>
        <w:t>%</w:t>
      </w:r>
      <w:r w:rsidR="004E0609">
        <w:t xml:space="preserve"> with ten (10) reported compared to 2015</w:t>
      </w:r>
      <w:r w:rsidR="001244F0">
        <w:t xml:space="preserve"> with </w:t>
      </w:r>
      <w:r w:rsidR="004E0609">
        <w:t>eight</w:t>
      </w:r>
      <w:r w:rsidR="00A978B7">
        <w:t xml:space="preserve"> (</w:t>
      </w:r>
      <w:r w:rsidR="004E0609">
        <w:t>8</w:t>
      </w:r>
      <w:r w:rsidR="00A978B7">
        <w:t>)</w:t>
      </w:r>
      <w:r w:rsidR="001E5759">
        <w:t xml:space="preserve"> being reported</w:t>
      </w:r>
      <w:r w:rsidR="00497B7E">
        <w:t>.</w:t>
      </w:r>
      <w:r w:rsidR="001E5759">
        <w:t xml:space="preserve"> </w:t>
      </w:r>
      <w:r w:rsidR="00177665">
        <w:t xml:space="preserve">The five year average also showed a </w:t>
      </w:r>
      <w:r w:rsidR="004E0609">
        <w:rPr>
          <w:b/>
        </w:rPr>
        <w:t>25</w:t>
      </w:r>
      <w:r w:rsidR="00177665" w:rsidRPr="00177665">
        <w:rPr>
          <w:b/>
        </w:rPr>
        <w:t>%</w:t>
      </w:r>
      <w:r w:rsidR="004E0609">
        <w:t xml:space="preserve"> </w:t>
      </w:r>
      <w:r w:rsidR="008B0A17">
        <w:t xml:space="preserve">increase.  </w:t>
      </w:r>
    </w:p>
    <w:p w:rsidR="001D4D91" w:rsidRDefault="001D4D91" w:rsidP="00AE3572">
      <w:pPr>
        <w:jc w:val="both"/>
      </w:pPr>
    </w:p>
    <w:tbl>
      <w:tblPr>
        <w:tblW w:w="9392" w:type="dxa"/>
        <w:tblInd w:w="93" w:type="dxa"/>
        <w:tblLook w:val="04A0" w:firstRow="1" w:lastRow="0" w:firstColumn="1" w:lastColumn="0" w:noHBand="0" w:noVBand="1"/>
      </w:tblPr>
      <w:tblGrid>
        <w:gridCol w:w="2062"/>
        <w:gridCol w:w="1632"/>
        <w:gridCol w:w="921"/>
        <w:gridCol w:w="963"/>
        <w:gridCol w:w="921"/>
        <w:gridCol w:w="1050"/>
        <w:gridCol w:w="921"/>
        <w:gridCol w:w="922"/>
      </w:tblGrid>
      <w:tr w:rsidR="001D4D91" w:rsidTr="001D4D91">
        <w:trPr>
          <w:trHeight w:val="276"/>
        </w:trPr>
        <w:tc>
          <w:tcPr>
            <w:tcW w:w="9392"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1D4D91" w:rsidRDefault="001D4D91" w:rsidP="001D4D91">
            <w:pPr>
              <w:jc w:val="center"/>
              <w:rPr>
                <w:rFonts w:ascii="Arial" w:hAnsi="Arial" w:cs="Arial"/>
                <w:b/>
                <w:bCs/>
              </w:rPr>
            </w:pPr>
            <w:r>
              <w:rPr>
                <w:rFonts w:ascii="Arial" w:hAnsi="Arial" w:cs="Arial"/>
                <w:b/>
                <w:bCs/>
              </w:rPr>
              <w:t>Homicide</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rPr>
            </w:pP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5Yr Avg.</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2011</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2012</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2013</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2014</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2015</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2016</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January</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2</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2</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February</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2</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March</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April</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2</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2</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May</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4</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June</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2</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July</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2</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August</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4</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September</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2</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October</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4</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November</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1</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December</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sz w:val="20"/>
                <w:szCs w:val="20"/>
              </w:rPr>
            </w:pPr>
            <w:r>
              <w:rPr>
                <w:rFonts w:ascii="Arial" w:hAnsi="Arial" w:cs="Arial"/>
                <w:sz w:val="20"/>
                <w:szCs w:val="20"/>
              </w:rPr>
              <w:t>0</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Total</w:t>
            </w:r>
          </w:p>
        </w:tc>
        <w:tc>
          <w:tcPr>
            <w:tcW w:w="1632"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8</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17</w:t>
            </w:r>
          </w:p>
        </w:tc>
        <w:tc>
          <w:tcPr>
            <w:tcW w:w="963"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3</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3</w:t>
            </w:r>
          </w:p>
        </w:tc>
        <w:tc>
          <w:tcPr>
            <w:tcW w:w="1050"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7</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8</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10</w:t>
            </w:r>
          </w:p>
        </w:tc>
      </w:tr>
      <w:tr w:rsidR="001D4D91" w:rsidTr="001D4D91">
        <w:trPr>
          <w:trHeight w:val="276"/>
        </w:trPr>
        <w:tc>
          <w:tcPr>
            <w:tcW w:w="2062"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 of ∆</w:t>
            </w:r>
          </w:p>
        </w:tc>
        <w:tc>
          <w:tcPr>
            <w:tcW w:w="1632" w:type="dxa"/>
            <w:tcBorders>
              <w:top w:val="nil"/>
              <w:left w:val="nil"/>
              <w:bottom w:val="single" w:sz="4" w:space="0" w:color="auto"/>
              <w:right w:val="single" w:sz="4" w:space="0" w:color="auto"/>
            </w:tcBorders>
            <w:shd w:val="clear" w:color="000000" w:fill="000000"/>
            <w:noWrap/>
            <w:vAlign w:val="center"/>
            <w:hideMark/>
          </w:tcPr>
          <w:p w:rsidR="001D4D91" w:rsidRDefault="001D4D91" w:rsidP="001D4D91">
            <w:pPr>
              <w:jc w:val="center"/>
              <w:rPr>
                <w:rFonts w:ascii="Arial" w:hAnsi="Arial" w:cs="Arial"/>
                <w:b/>
                <w:bCs/>
                <w:sz w:val="20"/>
                <w:szCs w:val="20"/>
              </w:rPr>
            </w:pPr>
          </w:p>
        </w:tc>
        <w:tc>
          <w:tcPr>
            <w:tcW w:w="921" w:type="dxa"/>
            <w:tcBorders>
              <w:top w:val="nil"/>
              <w:left w:val="nil"/>
              <w:bottom w:val="single" w:sz="4" w:space="0" w:color="auto"/>
              <w:right w:val="single" w:sz="8" w:space="0" w:color="auto"/>
            </w:tcBorders>
            <w:shd w:val="clear" w:color="000000" w:fill="000000"/>
            <w:noWrap/>
            <w:vAlign w:val="center"/>
            <w:hideMark/>
          </w:tcPr>
          <w:p w:rsidR="001D4D91" w:rsidRDefault="001D4D91" w:rsidP="001D4D91">
            <w:pPr>
              <w:jc w:val="center"/>
              <w:rPr>
                <w:rFonts w:ascii="Arial" w:hAnsi="Arial" w:cs="Arial"/>
                <w:b/>
                <w:bCs/>
                <w:sz w:val="20"/>
                <w:szCs w:val="20"/>
              </w:rPr>
            </w:pPr>
          </w:p>
        </w:tc>
        <w:tc>
          <w:tcPr>
            <w:tcW w:w="963"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-82%</w:t>
            </w:r>
          </w:p>
        </w:tc>
        <w:tc>
          <w:tcPr>
            <w:tcW w:w="921" w:type="dxa"/>
            <w:tcBorders>
              <w:top w:val="nil"/>
              <w:left w:val="nil"/>
              <w:bottom w:val="single" w:sz="4" w:space="0" w:color="auto"/>
              <w:right w:val="nil"/>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0%</w:t>
            </w:r>
          </w:p>
        </w:tc>
        <w:tc>
          <w:tcPr>
            <w:tcW w:w="1050" w:type="dxa"/>
            <w:tcBorders>
              <w:top w:val="nil"/>
              <w:left w:val="single" w:sz="4" w:space="0" w:color="auto"/>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133%</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14%</w:t>
            </w:r>
          </w:p>
        </w:tc>
        <w:tc>
          <w:tcPr>
            <w:tcW w:w="921" w:type="dxa"/>
            <w:tcBorders>
              <w:top w:val="nil"/>
              <w:left w:val="nil"/>
              <w:bottom w:val="single" w:sz="4" w:space="0" w:color="auto"/>
              <w:right w:val="single" w:sz="4" w:space="0" w:color="auto"/>
            </w:tcBorders>
            <w:shd w:val="clear" w:color="auto" w:fill="auto"/>
            <w:noWrap/>
            <w:vAlign w:val="center"/>
            <w:hideMark/>
          </w:tcPr>
          <w:p w:rsidR="001D4D91" w:rsidRDefault="001D4D91" w:rsidP="001D4D91">
            <w:pPr>
              <w:jc w:val="center"/>
              <w:rPr>
                <w:rFonts w:ascii="Arial" w:hAnsi="Arial" w:cs="Arial"/>
                <w:b/>
                <w:bCs/>
                <w:sz w:val="20"/>
                <w:szCs w:val="20"/>
              </w:rPr>
            </w:pPr>
            <w:r>
              <w:rPr>
                <w:rFonts w:ascii="Arial" w:hAnsi="Arial" w:cs="Arial"/>
                <w:b/>
                <w:bCs/>
                <w:sz w:val="20"/>
                <w:szCs w:val="20"/>
              </w:rPr>
              <w:t>25%</w:t>
            </w:r>
          </w:p>
        </w:tc>
      </w:tr>
    </w:tbl>
    <w:p w:rsidR="00BA4FFB" w:rsidRDefault="00BA4FFB" w:rsidP="00AE3572">
      <w:pPr>
        <w:jc w:val="both"/>
      </w:pPr>
    </w:p>
    <w:p w:rsidR="001E5759" w:rsidRDefault="001E5759" w:rsidP="00830550"/>
    <w:p w:rsidR="001E5759" w:rsidRDefault="008F079A" w:rsidP="00830550">
      <w:r>
        <w:rPr>
          <w:noProof/>
        </w:rPr>
        <w:drawing>
          <wp:inline distT="0" distB="0" distL="0" distR="0" wp14:anchorId="349556F8" wp14:editId="1AA95BDD">
            <wp:extent cx="5943600" cy="3642360"/>
            <wp:effectExtent l="0" t="0" r="19050" b="1524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B0A17" w:rsidRDefault="008B0A17" w:rsidP="00CB13CD">
      <w:pPr>
        <w:tabs>
          <w:tab w:val="left" w:pos="-90"/>
        </w:tabs>
        <w:outlineLvl w:val="0"/>
        <w:rPr>
          <w:b/>
          <w:i/>
          <w:sz w:val="28"/>
          <w:szCs w:val="28"/>
          <w:u w:val="single"/>
        </w:rPr>
      </w:pPr>
    </w:p>
    <w:p w:rsidR="004B2EC9" w:rsidRPr="00393AAF" w:rsidRDefault="00CE6AF7" w:rsidP="00CB13CD">
      <w:pPr>
        <w:tabs>
          <w:tab w:val="left" w:pos="-90"/>
        </w:tabs>
        <w:outlineLvl w:val="0"/>
        <w:rPr>
          <w:b/>
          <w:i/>
          <w:sz w:val="28"/>
          <w:szCs w:val="28"/>
          <w:u w:val="single"/>
        </w:rPr>
      </w:pPr>
      <w:r>
        <w:rPr>
          <w:b/>
          <w:i/>
          <w:sz w:val="28"/>
          <w:szCs w:val="28"/>
          <w:u w:val="single"/>
        </w:rPr>
        <w:t xml:space="preserve">Forcible </w:t>
      </w:r>
      <w:r w:rsidR="004B2EC9" w:rsidRPr="00393AAF">
        <w:rPr>
          <w:b/>
          <w:i/>
          <w:sz w:val="28"/>
          <w:szCs w:val="28"/>
          <w:u w:val="single"/>
        </w:rPr>
        <w:t>Rape</w:t>
      </w:r>
      <w:r w:rsidR="003A5D63">
        <w:rPr>
          <w:b/>
          <w:i/>
          <w:sz w:val="28"/>
          <w:szCs w:val="28"/>
          <w:u w:val="single"/>
        </w:rPr>
        <w:t>:</w:t>
      </w:r>
    </w:p>
    <w:p w:rsidR="003A5D63" w:rsidRDefault="003A5D63" w:rsidP="00DF4B5F">
      <w:pPr>
        <w:tabs>
          <w:tab w:val="left" w:pos="-90"/>
        </w:tabs>
      </w:pPr>
    </w:p>
    <w:p w:rsidR="00EC1DAB" w:rsidRDefault="00DF4B5F" w:rsidP="00F05661">
      <w:pPr>
        <w:jc w:val="both"/>
      </w:pPr>
      <w:r>
        <w:lastRenderedPageBreak/>
        <w:tab/>
      </w:r>
      <w:r w:rsidR="001F2EE3">
        <w:t xml:space="preserve">Rapes </w:t>
      </w:r>
      <w:r w:rsidR="008B0A17">
        <w:t xml:space="preserve">reported in 2016 increased </w:t>
      </w:r>
      <w:r w:rsidR="008B0A17" w:rsidRPr="008B0A17">
        <w:rPr>
          <w:b/>
        </w:rPr>
        <w:t>83</w:t>
      </w:r>
      <w:r w:rsidR="00177665">
        <w:t>%</w:t>
      </w:r>
      <w:r w:rsidR="003F055C">
        <w:t xml:space="preserve"> when </w:t>
      </w:r>
      <w:r w:rsidR="001F2EE3">
        <w:t xml:space="preserve">compared </w:t>
      </w:r>
      <w:r w:rsidR="00247208">
        <w:t>to 201</w:t>
      </w:r>
      <w:r w:rsidR="008B0A17">
        <w:t xml:space="preserve">5 and also when comparing </w:t>
      </w:r>
      <w:r w:rsidR="00EC1DAB">
        <w:t>to the</w:t>
      </w:r>
      <w:r w:rsidR="008B0A17">
        <w:t xml:space="preserve"> previous</w:t>
      </w:r>
      <w:r w:rsidR="00EC1DAB">
        <w:t xml:space="preserve"> five-year average.</w:t>
      </w:r>
    </w:p>
    <w:p w:rsidR="00D41788" w:rsidRDefault="00D41788" w:rsidP="00F05661">
      <w:pPr>
        <w:jc w:val="both"/>
      </w:pPr>
    </w:p>
    <w:tbl>
      <w:tblPr>
        <w:tblW w:w="9363" w:type="dxa"/>
        <w:tblInd w:w="93" w:type="dxa"/>
        <w:tblLook w:val="04A0" w:firstRow="1" w:lastRow="0" w:firstColumn="1" w:lastColumn="0" w:noHBand="0" w:noVBand="1"/>
      </w:tblPr>
      <w:tblGrid>
        <w:gridCol w:w="2084"/>
        <w:gridCol w:w="1650"/>
        <w:gridCol w:w="931"/>
        <w:gridCol w:w="974"/>
        <w:gridCol w:w="931"/>
        <w:gridCol w:w="931"/>
        <w:gridCol w:w="931"/>
        <w:gridCol w:w="931"/>
      </w:tblGrid>
      <w:tr w:rsidR="008F079A" w:rsidTr="001D4D91">
        <w:trPr>
          <w:trHeight w:val="326"/>
        </w:trPr>
        <w:tc>
          <w:tcPr>
            <w:tcW w:w="9362" w:type="dxa"/>
            <w:gridSpan w:val="8"/>
            <w:tcBorders>
              <w:top w:val="single" w:sz="4" w:space="0" w:color="auto"/>
              <w:left w:val="single" w:sz="4" w:space="0" w:color="auto"/>
              <w:bottom w:val="single" w:sz="4" w:space="0" w:color="auto"/>
              <w:right w:val="single" w:sz="4" w:space="0" w:color="000000"/>
            </w:tcBorders>
            <w:shd w:val="clear" w:color="000000" w:fill="C4BD97"/>
            <w:noWrap/>
            <w:vAlign w:val="bottom"/>
            <w:hideMark/>
          </w:tcPr>
          <w:p w:rsidR="008F079A" w:rsidRDefault="008F079A">
            <w:pPr>
              <w:jc w:val="center"/>
              <w:rPr>
                <w:rFonts w:ascii="Arial" w:hAnsi="Arial" w:cs="Arial"/>
                <w:b/>
                <w:bCs/>
              </w:rPr>
            </w:pPr>
            <w:r>
              <w:rPr>
                <w:rFonts w:ascii="Arial" w:hAnsi="Arial" w:cs="Arial"/>
                <w:b/>
                <w:bCs/>
              </w:rPr>
              <w:t>Forcible Rape</w:t>
            </w:r>
          </w:p>
        </w:tc>
      </w:tr>
      <w:tr w:rsidR="008F079A" w:rsidTr="001D4D91">
        <w:trPr>
          <w:trHeight w:val="326"/>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rPr>
            </w:pPr>
            <w:r>
              <w:rPr>
                <w:rFonts w:ascii="Arial" w:hAnsi="Arial" w:cs="Arial"/>
                <w:b/>
                <w:bCs/>
              </w:rPr>
              <w:t> </w:t>
            </w:r>
          </w:p>
        </w:tc>
        <w:tc>
          <w:tcPr>
            <w:tcW w:w="165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5Yr Avg.</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2011</w:t>
            </w:r>
          </w:p>
        </w:tc>
        <w:tc>
          <w:tcPr>
            <w:tcW w:w="974"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2014</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2015</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2016</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January</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February</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March</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0</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April</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May</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3</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June</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4</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July</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3</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4</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August</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September</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4</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0</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October</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November</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December</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0</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Total</w:t>
            </w:r>
          </w:p>
        </w:tc>
        <w:tc>
          <w:tcPr>
            <w:tcW w:w="165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31</w:t>
            </w:r>
          </w:p>
        </w:tc>
        <w:tc>
          <w:tcPr>
            <w:tcW w:w="974"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18</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22</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23</w:t>
            </w:r>
          </w:p>
        </w:tc>
        <w:tc>
          <w:tcPr>
            <w:tcW w:w="931"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42</w:t>
            </w:r>
          </w:p>
        </w:tc>
      </w:tr>
      <w:tr w:rsidR="008F079A" w:rsidTr="001D4D91">
        <w:trPr>
          <w:trHeight w:val="264"/>
        </w:trPr>
        <w:tc>
          <w:tcPr>
            <w:tcW w:w="208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 of ∆</w:t>
            </w:r>
          </w:p>
        </w:tc>
        <w:tc>
          <w:tcPr>
            <w:tcW w:w="1650"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31"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74"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-42%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22%</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0%</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w:t>
            </w:r>
          </w:p>
        </w:tc>
        <w:tc>
          <w:tcPr>
            <w:tcW w:w="931"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83%</w:t>
            </w:r>
          </w:p>
        </w:tc>
      </w:tr>
    </w:tbl>
    <w:p w:rsidR="00177665" w:rsidRDefault="00177665" w:rsidP="00F05661">
      <w:pPr>
        <w:jc w:val="both"/>
      </w:pPr>
    </w:p>
    <w:p w:rsidR="00177665" w:rsidRDefault="00177665" w:rsidP="00F05661">
      <w:pPr>
        <w:jc w:val="both"/>
      </w:pPr>
    </w:p>
    <w:p w:rsidR="00DF4B5F" w:rsidRDefault="008F079A" w:rsidP="00DF4B5F">
      <w:pPr>
        <w:tabs>
          <w:tab w:val="left" w:pos="-90"/>
        </w:tabs>
      </w:pPr>
      <w:r>
        <w:rPr>
          <w:noProof/>
        </w:rPr>
        <w:drawing>
          <wp:inline distT="0" distB="0" distL="0" distR="0" wp14:anchorId="30923E9D" wp14:editId="05661F16">
            <wp:extent cx="5943600" cy="3705225"/>
            <wp:effectExtent l="0" t="0" r="19050" b="952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B2BCB" w:rsidRDefault="008B2BCB" w:rsidP="00DF4B5F">
      <w:pPr>
        <w:tabs>
          <w:tab w:val="left" w:pos="-90"/>
        </w:tabs>
      </w:pPr>
    </w:p>
    <w:p w:rsidR="00E06D32" w:rsidRDefault="00E06D32" w:rsidP="00AE3572">
      <w:pPr>
        <w:outlineLvl w:val="0"/>
        <w:rPr>
          <w:b/>
          <w:i/>
          <w:sz w:val="28"/>
          <w:szCs w:val="28"/>
          <w:u w:val="single"/>
        </w:rPr>
      </w:pPr>
    </w:p>
    <w:p w:rsidR="004B2EC9" w:rsidRPr="00393AAF" w:rsidRDefault="004B2EC9" w:rsidP="00AE3572">
      <w:pPr>
        <w:outlineLvl w:val="0"/>
        <w:rPr>
          <w:b/>
          <w:i/>
          <w:sz w:val="28"/>
          <w:szCs w:val="28"/>
          <w:u w:val="single"/>
        </w:rPr>
      </w:pPr>
      <w:r w:rsidRPr="00393AAF">
        <w:rPr>
          <w:b/>
          <w:i/>
          <w:sz w:val="28"/>
          <w:szCs w:val="28"/>
          <w:u w:val="single"/>
        </w:rPr>
        <w:t>Robbery</w:t>
      </w:r>
      <w:r w:rsidR="005A46A3">
        <w:rPr>
          <w:b/>
          <w:i/>
          <w:sz w:val="28"/>
          <w:szCs w:val="28"/>
          <w:u w:val="single"/>
        </w:rPr>
        <w:t>:</w:t>
      </w:r>
    </w:p>
    <w:p w:rsidR="004B2EC9" w:rsidRDefault="004B2EC9" w:rsidP="004B2EC9">
      <w:pPr>
        <w:jc w:val="center"/>
        <w:rPr>
          <w:sz w:val="32"/>
          <w:szCs w:val="32"/>
        </w:rPr>
      </w:pPr>
    </w:p>
    <w:p w:rsidR="00DF4B5F" w:rsidRDefault="00DF4B5F" w:rsidP="00F05661">
      <w:pPr>
        <w:jc w:val="both"/>
      </w:pPr>
      <w:r>
        <w:tab/>
      </w:r>
      <w:r w:rsidR="005C4311">
        <w:t xml:space="preserve">During </w:t>
      </w:r>
      <w:r w:rsidR="001F2EE3">
        <w:t>this reporting period</w:t>
      </w:r>
      <w:r w:rsidR="00E06D32">
        <w:t xml:space="preserve"> of 2016 Robbery in</w:t>
      </w:r>
      <w:r w:rsidR="008B2904">
        <w:t xml:space="preserve">creased </w:t>
      </w:r>
      <w:r w:rsidR="00E06D32">
        <w:rPr>
          <w:b/>
        </w:rPr>
        <w:t>19</w:t>
      </w:r>
      <w:r w:rsidR="008B2904" w:rsidRPr="00274399">
        <w:rPr>
          <w:b/>
        </w:rPr>
        <w:t>%</w:t>
      </w:r>
      <w:r w:rsidR="008B2904">
        <w:t xml:space="preserve"> when c</w:t>
      </w:r>
      <w:r w:rsidR="00E06D32">
        <w:t>ompared to 2015</w:t>
      </w:r>
      <w:r w:rsidR="0043255D">
        <w:t xml:space="preserve"> and in</w:t>
      </w:r>
      <w:r w:rsidR="00892076">
        <w:t xml:space="preserve">creased </w:t>
      </w:r>
      <w:r w:rsidR="00E06D32">
        <w:rPr>
          <w:b/>
        </w:rPr>
        <w:t>17</w:t>
      </w:r>
      <w:r w:rsidR="00892076" w:rsidRPr="00892076">
        <w:rPr>
          <w:b/>
        </w:rPr>
        <w:t>%</w:t>
      </w:r>
      <w:r w:rsidR="00892076">
        <w:t xml:space="preserve"> when compared to the previous five year average</w:t>
      </w:r>
      <w:r w:rsidR="005C4311">
        <w:t>.</w:t>
      </w:r>
    </w:p>
    <w:p w:rsidR="006A7535" w:rsidRDefault="006A7535" w:rsidP="00DF4B5F"/>
    <w:tbl>
      <w:tblPr>
        <w:tblW w:w="9317" w:type="dxa"/>
        <w:tblInd w:w="93" w:type="dxa"/>
        <w:tblLook w:val="04A0" w:firstRow="1" w:lastRow="0" w:firstColumn="1" w:lastColumn="0" w:noHBand="0" w:noVBand="1"/>
      </w:tblPr>
      <w:tblGrid>
        <w:gridCol w:w="2074"/>
        <w:gridCol w:w="1642"/>
        <w:gridCol w:w="926"/>
        <w:gridCol w:w="969"/>
        <w:gridCol w:w="926"/>
        <w:gridCol w:w="926"/>
        <w:gridCol w:w="926"/>
        <w:gridCol w:w="928"/>
      </w:tblGrid>
      <w:tr w:rsidR="008F079A" w:rsidTr="001D4D91">
        <w:trPr>
          <w:trHeight w:val="317"/>
        </w:trPr>
        <w:tc>
          <w:tcPr>
            <w:tcW w:w="9317" w:type="dxa"/>
            <w:gridSpan w:val="8"/>
            <w:tcBorders>
              <w:top w:val="single" w:sz="4" w:space="0" w:color="auto"/>
              <w:left w:val="single" w:sz="4" w:space="0" w:color="auto"/>
              <w:bottom w:val="single" w:sz="4" w:space="0" w:color="auto"/>
              <w:right w:val="single" w:sz="4" w:space="0" w:color="000000"/>
            </w:tcBorders>
            <w:shd w:val="clear" w:color="000000" w:fill="C4BD97"/>
            <w:noWrap/>
            <w:vAlign w:val="bottom"/>
            <w:hideMark/>
          </w:tcPr>
          <w:p w:rsidR="008F079A" w:rsidRDefault="008F079A">
            <w:pPr>
              <w:jc w:val="center"/>
              <w:rPr>
                <w:rFonts w:ascii="Arial" w:hAnsi="Arial" w:cs="Arial"/>
                <w:b/>
                <w:bCs/>
              </w:rPr>
            </w:pPr>
            <w:r>
              <w:rPr>
                <w:rFonts w:ascii="Arial" w:hAnsi="Arial" w:cs="Arial"/>
                <w:b/>
                <w:bCs/>
              </w:rPr>
              <w:t>Robbery</w:t>
            </w:r>
          </w:p>
        </w:tc>
      </w:tr>
      <w:tr w:rsidR="008F079A" w:rsidTr="001D4D91">
        <w:trPr>
          <w:trHeight w:val="31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rPr>
            </w:pPr>
            <w:r>
              <w:rPr>
                <w:rFonts w:ascii="Arial" w:hAnsi="Arial" w:cs="Arial"/>
                <w:b/>
                <w:bCs/>
              </w:rPr>
              <w:t> </w:t>
            </w:r>
          </w:p>
        </w:tc>
        <w:tc>
          <w:tcPr>
            <w:tcW w:w="164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5Yr Avg.</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2011</w:t>
            </w:r>
          </w:p>
        </w:tc>
        <w:tc>
          <w:tcPr>
            <w:tcW w:w="969"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2012</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2013</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2014</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2015</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2016</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January</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February</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8</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12</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March</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6</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April</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8</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May</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7</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12</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June</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6</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8</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July</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10</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13</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August</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8</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September</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7</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8</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October</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9</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12</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November</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6</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12</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December</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9</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12</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Total</w:t>
            </w:r>
          </w:p>
        </w:tc>
        <w:tc>
          <w:tcPr>
            <w:tcW w:w="164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87</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105</w:t>
            </w:r>
          </w:p>
        </w:tc>
        <w:tc>
          <w:tcPr>
            <w:tcW w:w="969"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75</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81</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90</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86</w:t>
            </w:r>
          </w:p>
        </w:tc>
        <w:tc>
          <w:tcPr>
            <w:tcW w:w="92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102</w:t>
            </w:r>
          </w:p>
        </w:tc>
      </w:tr>
      <w:tr w:rsidR="008F079A" w:rsidTr="001D4D91">
        <w:trPr>
          <w:trHeight w:val="257"/>
        </w:trPr>
        <w:tc>
          <w:tcPr>
            <w:tcW w:w="2074"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 of ∆</w:t>
            </w:r>
          </w:p>
        </w:tc>
        <w:tc>
          <w:tcPr>
            <w:tcW w:w="1642"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26"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6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-29%</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8%</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11%</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-4%</w:t>
            </w:r>
          </w:p>
        </w:tc>
        <w:tc>
          <w:tcPr>
            <w:tcW w:w="92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19%</w:t>
            </w:r>
          </w:p>
        </w:tc>
      </w:tr>
    </w:tbl>
    <w:p w:rsidR="00F72690" w:rsidRDefault="00F72690" w:rsidP="00DF4B5F"/>
    <w:p w:rsidR="00D41788" w:rsidRDefault="00D41788" w:rsidP="00DF4B5F"/>
    <w:p w:rsidR="006A7535" w:rsidRDefault="008F079A" w:rsidP="00DF4B5F">
      <w:r>
        <w:rPr>
          <w:noProof/>
        </w:rPr>
        <w:drawing>
          <wp:inline distT="0" distB="0" distL="0" distR="0" wp14:anchorId="1C847341" wp14:editId="0DAE3BD7">
            <wp:extent cx="5943600" cy="4095750"/>
            <wp:effectExtent l="0" t="0" r="19050" b="1905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B2EC9" w:rsidRPr="00393AAF" w:rsidRDefault="004B2EC9" w:rsidP="00AE3572">
      <w:pPr>
        <w:tabs>
          <w:tab w:val="left" w:pos="-90"/>
        </w:tabs>
        <w:outlineLvl w:val="0"/>
        <w:rPr>
          <w:b/>
          <w:i/>
          <w:sz w:val="28"/>
          <w:szCs w:val="28"/>
          <w:u w:val="single"/>
        </w:rPr>
      </w:pPr>
      <w:r w:rsidRPr="00393AAF">
        <w:rPr>
          <w:b/>
          <w:i/>
          <w:sz w:val="28"/>
          <w:szCs w:val="28"/>
          <w:u w:val="single"/>
        </w:rPr>
        <w:t>Aggravated Assaults</w:t>
      </w:r>
      <w:r w:rsidR="005A46A3">
        <w:rPr>
          <w:b/>
          <w:i/>
          <w:sz w:val="28"/>
          <w:szCs w:val="28"/>
          <w:u w:val="single"/>
        </w:rPr>
        <w:t>:</w:t>
      </w:r>
    </w:p>
    <w:p w:rsidR="004B2EC9" w:rsidRDefault="004B2EC9" w:rsidP="004B2EC9">
      <w:pPr>
        <w:tabs>
          <w:tab w:val="left" w:pos="-90"/>
        </w:tabs>
        <w:jc w:val="center"/>
        <w:rPr>
          <w:sz w:val="32"/>
          <w:szCs w:val="32"/>
        </w:rPr>
      </w:pPr>
    </w:p>
    <w:p w:rsidR="00E14F60" w:rsidRDefault="00E14F60" w:rsidP="00E14F60">
      <w:pPr>
        <w:tabs>
          <w:tab w:val="left" w:pos="-90"/>
        </w:tabs>
      </w:pPr>
      <w:r>
        <w:tab/>
      </w:r>
      <w:r w:rsidR="006F2EDE">
        <w:t xml:space="preserve">Through </w:t>
      </w:r>
      <w:r w:rsidR="005C4311">
        <w:t>20</w:t>
      </w:r>
      <w:r w:rsidR="00E06D32">
        <w:t>16</w:t>
      </w:r>
      <w:r w:rsidR="00E51E03">
        <w:t xml:space="preserve"> </w:t>
      </w:r>
      <w:r w:rsidR="006A7535">
        <w:t>Aggravated A</w:t>
      </w:r>
      <w:r w:rsidR="005C4311">
        <w:t xml:space="preserve">ssaults </w:t>
      </w:r>
      <w:r w:rsidR="00E06D32">
        <w:t>de</w:t>
      </w:r>
      <w:r w:rsidR="00E51E03">
        <w:t xml:space="preserve">creased </w:t>
      </w:r>
      <w:r w:rsidR="00E06D32">
        <w:rPr>
          <w:b/>
        </w:rPr>
        <w:t>17</w:t>
      </w:r>
      <w:r w:rsidR="00E51E03" w:rsidRPr="00274399">
        <w:rPr>
          <w:b/>
        </w:rPr>
        <w:t>%</w:t>
      </w:r>
      <w:r w:rsidR="00E06D32">
        <w:t xml:space="preserve"> compared to 2015 but</w:t>
      </w:r>
      <w:r w:rsidR="00111377">
        <w:t xml:space="preserve"> </w:t>
      </w:r>
      <w:r w:rsidR="0043255D">
        <w:t>showed an</w:t>
      </w:r>
      <w:r w:rsidR="00892076">
        <w:t xml:space="preserve"> </w:t>
      </w:r>
      <w:r w:rsidR="00CC7EA8">
        <w:t>in</w:t>
      </w:r>
      <w:r w:rsidR="0043255D">
        <w:t>crease of</w:t>
      </w:r>
      <w:r w:rsidR="00892076">
        <w:t xml:space="preserve"> </w:t>
      </w:r>
      <w:r w:rsidR="00111377">
        <w:rPr>
          <w:b/>
        </w:rPr>
        <w:t>5</w:t>
      </w:r>
      <w:r w:rsidR="00892076" w:rsidRPr="00892076">
        <w:rPr>
          <w:b/>
        </w:rPr>
        <w:t>%</w:t>
      </w:r>
      <w:r w:rsidR="00497B7E">
        <w:t xml:space="preserve"> </w:t>
      </w:r>
      <w:r w:rsidR="00892076">
        <w:t xml:space="preserve">when compared to </w:t>
      </w:r>
      <w:r w:rsidR="00E51E03">
        <w:t>t</w:t>
      </w:r>
      <w:r>
        <w:t>he</w:t>
      </w:r>
      <w:r w:rsidR="00E51E03">
        <w:t xml:space="preserve"> previous</w:t>
      </w:r>
      <w:r>
        <w:t xml:space="preserve"> five year average.</w:t>
      </w:r>
    </w:p>
    <w:p w:rsidR="00CB13CD" w:rsidRDefault="00CB13CD" w:rsidP="00E14F60">
      <w:pPr>
        <w:tabs>
          <w:tab w:val="left" w:pos="-90"/>
        </w:tabs>
      </w:pPr>
    </w:p>
    <w:tbl>
      <w:tblPr>
        <w:tblW w:w="9421" w:type="dxa"/>
        <w:tblInd w:w="93" w:type="dxa"/>
        <w:tblLook w:val="04A0" w:firstRow="1" w:lastRow="0" w:firstColumn="1" w:lastColumn="0" w:noHBand="0" w:noVBand="1"/>
      </w:tblPr>
      <w:tblGrid>
        <w:gridCol w:w="2088"/>
        <w:gridCol w:w="1653"/>
        <w:gridCol w:w="932"/>
        <w:gridCol w:w="932"/>
        <w:gridCol w:w="932"/>
        <w:gridCol w:w="975"/>
        <w:gridCol w:w="932"/>
        <w:gridCol w:w="977"/>
      </w:tblGrid>
      <w:tr w:rsidR="008F079A" w:rsidTr="001D4D91">
        <w:trPr>
          <w:trHeight w:val="313"/>
        </w:trPr>
        <w:tc>
          <w:tcPr>
            <w:tcW w:w="9421" w:type="dxa"/>
            <w:gridSpan w:val="8"/>
            <w:tcBorders>
              <w:top w:val="single" w:sz="4" w:space="0" w:color="auto"/>
              <w:left w:val="single" w:sz="4" w:space="0" w:color="auto"/>
              <w:bottom w:val="single" w:sz="4" w:space="0" w:color="auto"/>
              <w:right w:val="single" w:sz="4" w:space="0" w:color="000000"/>
            </w:tcBorders>
            <w:shd w:val="clear" w:color="000000" w:fill="C4BD97"/>
            <w:noWrap/>
            <w:vAlign w:val="bottom"/>
            <w:hideMark/>
          </w:tcPr>
          <w:p w:rsidR="008F079A" w:rsidRDefault="008F079A">
            <w:pPr>
              <w:jc w:val="center"/>
              <w:rPr>
                <w:rFonts w:ascii="Arial" w:hAnsi="Arial" w:cs="Arial"/>
                <w:b/>
                <w:bCs/>
              </w:rPr>
            </w:pPr>
            <w:r>
              <w:rPr>
                <w:rFonts w:ascii="Arial" w:hAnsi="Arial" w:cs="Arial"/>
                <w:b/>
                <w:bCs/>
              </w:rPr>
              <w:t>Aggravated Assault</w:t>
            </w:r>
          </w:p>
        </w:tc>
      </w:tr>
      <w:tr w:rsidR="008F079A" w:rsidTr="001D4D91">
        <w:trPr>
          <w:trHeight w:val="31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rPr>
            </w:pPr>
            <w:r>
              <w:rPr>
                <w:rFonts w:ascii="Arial" w:hAnsi="Arial" w:cs="Arial"/>
                <w:b/>
                <w:bCs/>
              </w:rPr>
              <w:t> </w:t>
            </w:r>
          </w:p>
        </w:tc>
        <w:tc>
          <w:tcPr>
            <w:tcW w:w="165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5Yr Avg.</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2011</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2012</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2013</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2014</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2015</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2016</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January</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8</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February</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3</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March</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April</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May</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3</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June</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4</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4</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 xml:space="preserve">July </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8</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12</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August</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September</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8</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8</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October</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November</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4</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4</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December</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6</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Total</w:t>
            </w:r>
          </w:p>
        </w:tc>
        <w:tc>
          <w:tcPr>
            <w:tcW w:w="165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65</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42</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57</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84</w:t>
            </w:r>
          </w:p>
        </w:tc>
        <w:tc>
          <w:tcPr>
            <w:tcW w:w="975"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62</w:t>
            </w:r>
          </w:p>
        </w:tc>
        <w:tc>
          <w:tcPr>
            <w:tcW w:w="93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82</w:t>
            </w:r>
          </w:p>
        </w:tc>
        <w:tc>
          <w:tcPr>
            <w:tcW w:w="976"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68</w:t>
            </w:r>
          </w:p>
        </w:tc>
      </w:tr>
      <w:tr w:rsidR="008F079A" w:rsidTr="001D4D91">
        <w:trPr>
          <w:trHeight w:val="253"/>
        </w:trPr>
        <w:tc>
          <w:tcPr>
            <w:tcW w:w="2088"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 of ∆</w:t>
            </w:r>
          </w:p>
        </w:tc>
        <w:tc>
          <w:tcPr>
            <w:tcW w:w="1653"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32"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36%</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47%</w:t>
            </w:r>
          </w:p>
        </w:tc>
        <w:tc>
          <w:tcPr>
            <w:tcW w:w="975"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-26%</w:t>
            </w:r>
          </w:p>
        </w:tc>
        <w:tc>
          <w:tcPr>
            <w:tcW w:w="93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32%</w:t>
            </w:r>
          </w:p>
        </w:tc>
        <w:tc>
          <w:tcPr>
            <w:tcW w:w="976"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-17%</w:t>
            </w:r>
          </w:p>
        </w:tc>
      </w:tr>
    </w:tbl>
    <w:p w:rsidR="00E85B61" w:rsidRDefault="00E85B61" w:rsidP="00625E47">
      <w:pPr>
        <w:tabs>
          <w:tab w:val="left" w:pos="-90"/>
        </w:tabs>
      </w:pPr>
    </w:p>
    <w:p w:rsidR="00D01CDC" w:rsidRDefault="008F079A" w:rsidP="00E14F60">
      <w:pPr>
        <w:tabs>
          <w:tab w:val="left" w:pos="-90"/>
        </w:tabs>
      </w:pPr>
      <w:r>
        <w:rPr>
          <w:noProof/>
        </w:rPr>
        <w:drawing>
          <wp:inline distT="0" distB="0" distL="0" distR="0" wp14:anchorId="10B153A0" wp14:editId="4FEC8578">
            <wp:extent cx="5943600" cy="1857375"/>
            <wp:effectExtent l="0" t="0" r="19050" b="952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D4D91" w:rsidRDefault="001D4D91" w:rsidP="00E14F60">
      <w:pPr>
        <w:tabs>
          <w:tab w:val="left" w:pos="-90"/>
        </w:tabs>
      </w:pPr>
    </w:p>
    <w:p w:rsidR="00D01CDC" w:rsidRDefault="008F079A" w:rsidP="00E14F60">
      <w:pPr>
        <w:tabs>
          <w:tab w:val="left" w:pos="-90"/>
        </w:tabs>
      </w:pPr>
      <w:r>
        <w:rPr>
          <w:noProof/>
        </w:rPr>
        <w:drawing>
          <wp:inline distT="0" distB="0" distL="0" distR="0" wp14:anchorId="4B52597C" wp14:editId="7AE54F64">
            <wp:extent cx="5943600" cy="2143125"/>
            <wp:effectExtent l="0" t="0" r="19050" b="952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D7603" w:rsidRDefault="000D7603" w:rsidP="00AE3572">
      <w:pPr>
        <w:outlineLvl w:val="0"/>
        <w:rPr>
          <w:b/>
          <w:i/>
          <w:sz w:val="28"/>
          <w:szCs w:val="28"/>
          <w:u w:val="single"/>
        </w:rPr>
      </w:pPr>
      <w:r w:rsidRPr="00393AAF">
        <w:rPr>
          <w:b/>
          <w:i/>
          <w:sz w:val="28"/>
          <w:szCs w:val="28"/>
          <w:u w:val="single"/>
        </w:rPr>
        <w:t>Division of Assaults</w:t>
      </w:r>
      <w:r w:rsidR="00FA545A">
        <w:rPr>
          <w:b/>
          <w:i/>
          <w:sz w:val="28"/>
          <w:szCs w:val="28"/>
          <w:u w:val="single"/>
        </w:rPr>
        <w:t>:</w:t>
      </w:r>
    </w:p>
    <w:p w:rsidR="0071736B" w:rsidRDefault="0071736B" w:rsidP="00AE3572">
      <w:pPr>
        <w:outlineLvl w:val="0"/>
        <w:rPr>
          <w:b/>
          <w:i/>
          <w:sz w:val="28"/>
          <w:szCs w:val="28"/>
          <w:u w:val="single"/>
        </w:rPr>
      </w:pPr>
    </w:p>
    <w:p w:rsidR="0071736B" w:rsidRDefault="0071736B" w:rsidP="00AE3572">
      <w:pPr>
        <w:outlineLvl w:val="0"/>
        <w:rPr>
          <w:b/>
          <w:i/>
          <w:sz w:val="28"/>
          <w:szCs w:val="28"/>
          <w:u w:val="single"/>
        </w:rPr>
      </w:pPr>
    </w:p>
    <w:p w:rsidR="0071736B" w:rsidRDefault="0071736B" w:rsidP="00AE3572">
      <w:pPr>
        <w:outlineLvl w:val="0"/>
        <w:rPr>
          <w:b/>
          <w:i/>
          <w:sz w:val="28"/>
          <w:szCs w:val="28"/>
          <w:u w:val="single"/>
        </w:rPr>
      </w:pPr>
    </w:p>
    <w:p w:rsidR="0071736B" w:rsidRDefault="008F079A" w:rsidP="00BA4FFB">
      <w:pPr>
        <w:jc w:val="center"/>
        <w:outlineLvl w:val="0"/>
        <w:rPr>
          <w:b/>
          <w:i/>
          <w:sz w:val="28"/>
          <w:szCs w:val="28"/>
          <w:u w:val="single"/>
        </w:rPr>
      </w:pPr>
      <w:r>
        <w:rPr>
          <w:noProof/>
        </w:rPr>
        <w:drawing>
          <wp:inline distT="0" distB="0" distL="0" distR="0" wp14:anchorId="31740B03" wp14:editId="19D705AF">
            <wp:extent cx="4624918" cy="3196168"/>
            <wp:effectExtent l="0" t="0" r="23495" b="2349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E13AE" w:rsidRDefault="00AE13AE" w:rsidP="00E14F60">
      <w:pPr>
        <w:rPr>
          <w:b/>
          <w:i/>
          <w:sz w:val="28"/>
          <w:szCs w:val="28"/>
          <w:u w:val="single"/>
        </w:rPr>
      </w:pPr>
    </w:p>
    <w:p w:rsidR="00AE13AE" w:rsidRDefault="00AE13AE" w:rsidP="00AE13AE">
      <w:pPr>
        <w:jc w:val="center"/>
        <w:rPr>
          <w:b/>
          <w:i/>
          <w:sz w:val="28"/>
          <w:szCs w:val="28"/>
          <w:u w:val="single"/>
        </w:rPr>
      </w:pPr>
    </w:p>
    <w:p w:rsidR="00FA545A" w:rsidRPr="00E85B61" w:rsidRDefault="00FA545A" w:rsidP="00A30D08">
      <w:pPr>
        <w:jc w:val="center"/>
        <w:rPr>
          <w:b/>
          <w:sz w:val="28"/>
          <w:szCs w:val="28"/>
          <w:u w:val="single"/>
        </w:rPr>
      </w:pPr>
    </w:p>
    <w:p w:rsidR="00393AAF" w:rsidRDefault="00393AAF" w:rsidP="00E14F60">
      <w:pPr>
        <w:rPr>
          <w:b/>
        </w:rPr>
      </w:pPr>
    </w:p>
    <w:p w:rsidR="0071736B" w:rsidRDefault="0071736B" w:rsidP="0071736B">
      <w:pPr>
        <w:rPr>
          <w:sz w:val="32"/>
          <w:szCs w:val="32"/>
        </w:rPr>
      </w:pPr>
    </w:p>
    <w:p w:rsidR="0071736B" w:rsidRDefault="0071736B" w:rsidP="0071736B">
      <w:pPr>
        <w:outlineLvl w:val="0"/>
        <w:rPr>
          <w:b/>
        </w:rPr>
      </w:pPr>
      <w:r>
        <w:rPr>
          <w:b/>
        </w:rPr>
        <w:t>Definitions</w:t>
      </w:r>
    </w:p>
    <w:p w:rsidR="0071736B" w:rsidRDefault="0071736B" w:rsidP="0071736B">
      <w:pPr>
        <w:rPr>
          <w:b/>
        </w:rPr>
      </w:pPr>
    </w:p>
    <w:p w:rsidR="0071736B" w:rsidRDefault="0071736B" w:rsidP="0071736B">
      <w:r>
        <w:tab/>
        <w:t xml:space="preserve">Assaults in this section are comprised of three types: </w:t>
      </w:r>
    </w:p>
    <w:p w:rsidR="0071736B" w:rsidRDefault="0071736B" w:rsidP="0071736B">
      <w:pPr>
        <w:numPr>
          <w:ilvl w:val="0"/>
          <w:numId w:val="5"/>
        </w:numPr>
      </w:pPr>
      <w:r>
        <w:t>Aggravated assault (</w:t>
      </w:r>
      <w:r w:rsidRPr="0071736B">
        <w:rPr>
          <w:i/>
        </w:rPr>
        <w:t>cumulative totals found in Violent Crimes</w:t>
      </w:r>
      <w:r>
        <w:t xml:space="preserve">) </w:t>
      </w:r>
    </w:p>
    <w:p w:rsidR="0071736B" w:rsidRDefault="0071736B" w:rsidP="0071736B">
      <w:pPr>
        <w:numPr>
          <w:ilvl w:val="0"/>
          <w:numId w:val="5"/>
        </w:numPr>
      </w:pPr>
      <w:r>
        <w:t>Domestic Violence</w:t>
      </w:r>
    </w:p>
    <w:p w:rsidR="0071736B" w:rsidRDefault="0071736B" w:rsidP="0071736B">
      <w:pPr>
        <w:numPr>
          <w:ilvl w:val="0"/>
          <w:numId w:val="5"/>
        </w:numPr>
      </w:pPr>
      <w:r>
        <w:t xml:space="preserve">Simple Assault </w:t>
      </w:r>
    </w:p>
    <w:p w:rsidR="00625E47" w:rsidRDefault="00625E47" w:rsidP="00E14F60">
      <w:pPr>
        <w:rPr>
          <w:b/>
        </w:rPr>
      </w:pPr>
    </w:p>
    <w:p w:rsidR="00892076" w:rsidRDefault="00892076" w:rsidP="00E14F60">
      <w:pPr>
        <w:rPr>
          <w:b/>
        </w:rPr>
      </w:pPr>
    </w:p>
    <w:p w:rsidR="0071736B" w:rsidRDefault="0071736B" w:rsidP="00E14F60">
      <w:pPr>
        <w:rPr>
          <w:b/>
        </w:rPr>
      </w:pPr>
    </w:p>
    <w:p w:rsidR="0071736B" w:rsidRDefault="0071736B" w:rsidP="00E14F60">
      <w:pPr>
        <w:rPr>
          <w:b/>
        </w:rPr>
      </w:pPr>
    </w:p>
    <w:p w:rsidR="00F42395" w:rsidRDefault="00F42395" w:rsidP="00E14F60">
      <w:pPr>
        <w:rPr>
          <w:b/>
        </w:rPr>
      </w:pPr>
    </w:p>
    <w:p w:rsidR="00F42395" w:rsidRDefault="00F42395" w:rsidP="00E14F60">
      <w:pPr>
        <w:rPr>
          <w:b/>
        </w:rPr>
      </w:pPr>
    </w:p>
    <w:p w:rsidR="00F42395" w:rsidRDefault="00F42395" w:rsidP="00E14F60">
      <w:pPr>
        <w:rPr>
          <w:b/>
        </w:rPr>
      </w:pPr>
    </w:p>
    <w:p w:rsidR="00F42395" w:rsidRDefault="00F42395" w:rsidP="00E14F60">
      <w:pPr>
        <w:rPr>
          <w:b/>
        </w:rPr>
      </w:pPr>
    </w:p>
    <w:p w:rsidR="0071736B" w:rsidRDefault="0071736B" w:rsidP="00E14F60">
      <w:pPr>
        <w:rPr>
          <w:b/>
        </w:rPr>
      </w:pPr>
    </w:p>
    <w:p w:rsidR="0071736B" w:rsidRDefault="0071736B" w:rsidP="00E14F60">
      <w:pPr>
        <w:rPr>
          <w:b/>
        </w:rPr>
      </w:pPr>
    </w:p>
    <w:p w:rsidR="00DF58E1" w:rsidRDefault="00DF58E1" w:rsidP="00E14F60">
      <w:pPr>
        <w:rPr>
          <w:b/>
        </w:rPr>
      </w:pPr>
    </w:p>
    <w:p w:rsidR="00DF58E1" w:rsidRDefault="00DF58E1" w:rsidP="00E14F60">
      <w:pPr>
        <w:rPr>
          <w:b/>
        </w:rPr>
      </w:pPr>
    </w:p>
    <w:p w:rsidR="0071736B" w:rsidRDefault="0071736B" w:rsidP="00E14F60">
      <w:pPr>
        <w:rPr>
          <w:b/>
        </w:rPr>
      </w:pPr>
    </w:p>
    <w:p w:rsidR="0071633C" w:rsidRPr="00393AAF" w:rsidRDefault="00395D91" w:rsidP="00AE3572">
      <w:pPr>
        <w:tabs>
          <w:tab w:val="left" w:pos="315"/>
          <w:tab w:val="left" w:pos="1710"/>
        </w:tabs>
        <w:outlineLvl w:val="0"/>
        <w:rPr>
          <w:b/>
          <w:i/>
          <w:sz w:val="28"/>
          <w:szCs w:val="28"/>
          <w:u w:val="single"/>
        </w:rPr>
      </w:pPr>
      <w:r>
        <w:rPr>
          <w:b/>
          <w:i/>
          <w:sz w:val="28"/>
          <w:szCs w:val="28"/>
          <w:u w:val="single"/>
        </w:rPr>
        <w:lastRenderedPageBreak/>
        <w:t>Total Physical</w:t>
      </w:r>
      <w:r w:rsidR="00AE13AE">
        <w:rPr>
          <w:b/>
          <w:i/>
          <w:sz w:val="28"/>
          <w:szCs w:val="28"/>
          <w:u w:val="single"/>
        </w:rPr>
        <w:t xml:space="preserve"> </w:t>
      </w:r>
      <w:r w:rsidR="0071633C" w:rsidRPr="00393AAF">
        <w:rPr>
          <w:b/>
          <w:i/>
          <w:sz w:val="28"/>
          <w:szCs w:val="28"/>
          <w:u w:val="single"/>
        </w:rPr>
        <w:t>Assaults</w:t>
      </w:r>
      <w:r w:rsidR="0071633C">
        <w:rPr>
          <w:b/>
          <w:i/>
          <w:sz w:val="28"/>
          <w:szCs w:val="28"/>
          <w:u w:val="single"/>
        </w:rPr>
        <w:t>:</w:t>
      </w:r>
    </w:p>
    <w:p w:rsidR="0071633C" w:rsidRDefault="00393AAF" w:rsidP="002E1625">
      <w:pPr>
        <w:tabs>
          <w:tab w:val="left" w:pos="315"/>
          <w:tab w:val="left" w:pos="1710"/>
        </w:tabs>
      </w:pPr>
      <w:r>
        <w:tab/>
      </w:r>
    </w:p>
    <w:p w:rsidR="00EC6AB8" w:rsidRDefault="0071736B" w:rsidP="0071736B">
      <w:pPr>
        <w:tabs>
          <w:tab w:val="left" w:pos="315"/>
          <w:tab w:val="left" w:pos="1710"/>
        </w:tabs>
        <w:jc w:val="both"/>
      </w:pPr>
      <w:r>
        <w:tab/>
      </w:r>
      <w:r w:rsidR="004A4D5F">
        <w:t>T</w:t>
      </w:r>
      <w:r w:rsidR="005C4311">
        <w:t xml:space="preserve">otal assaults and all other subdivisions of assaults were </w:t>
      </w:r>
      <w:r w:rsidR="00111377">
        <w:t>down</w:t>
      </w:r>
      <w:r w:rsidR="001F2EE3">
        <w:t xml:space="preserve"> </w:t>
      </w:r>
      <w:r w:rsidR="00E06D32">
        <w:rPr>
          <w:b/>
        </w:rPr>
        <w:t>15</w:t>
      </w:r>
      <w:r w:rsidR="004A4D5F" w:rsidRPr="001F2EE3">
        <w:rPr>
          <w:b/>
        </w:rPr>
        <w:t>%</w:t>
      </w:r>
      <w:r w:rsidR="004A4D5F">
        <w:rPr>
          <w:b/>
          <w:color w:val="FF0000"/>
        </w:rPr>
        <w:t xml:space="preserve"> </w:t>
      </w:r>
      <w:r w:rsidR="006F2EDE">
        <w:t>in</w:t>
      </w:r>
      <w:r w:rsidR="00E06D32">
        <w:t xml:space="preserve"> 2016</w:t>
      </w:r>
      <w:r w:rsidR="0050695F">
        <w:rPr>
          <w:b/>
          <w:color w:val="FF0000"/>
        </w:rPr>
        <w:t xml:space="preserve"> </w:t>
      </w:r>
      <w:r w:rsidR="004A4D5F">
        <w:t xml:space="preserve">when compared to </w:t>
      </w:r>
      <w:r w:rsidR="00E06D32">
        <w:t>2015</w:t>
      </w:r>
      <w:r w:rsidR="004A4D5F">
        <w:t xml:space="preserve"> </w:t>
      </w:r>
      <w:r w:rsidR="00E06D32">
        <w:t xml:space="preserve">and </w:t>
      </w:r>
      <w:r w:rsidR="0050695F">
        <w:t>were</w:t>
      </w:r>
      <w:r w:rsidR="00E06D32">
        <w:t xml:space="preserve"> also down 11</w:t>
      </w:r>
      <w:r w:rsidR="004A4D5F" w:rsidRPr="008B65A2">
        <w:rPr>
          <w:b/>
        </w:rPr>
        <w:t>%</w:t>
      </w:r>
      <w:r w:rsidR="004A4D5F">
        <w:t xml:space="preserve"> when compared to the </w:t>
      </w:r>
      <w:r w:rsidR="003825A7">
        <w:t xml:space="preserve">previous </w:t>
      </w:r>
      <w:r w:rsidR="004A4D5F">
        <w:t>five-year average.</w:t>
      </w:r>
      <w:r w:rsidR="007D4630">
        <w:t xml:space="preserve"> </w:t>
      </w:r>
    </w:p>
    <w:p w:rsidR="00FA545A" w:rsidRDefault="00FA545A" w:rsidP="002E1625">
      <w:pPr>
        <w:tabs>
          <w:tab w:val="left" w:pos="315"/>
          <w:tab w:val="left" w:pos="1710"/>
        </w:tabs>
      </w:pPr>
    </w:p>
    <w:tbl>
      <w:tblPr>
        <w:tblW w:w="9528" w:type="dxa"/>
        <w:tblInd w:w="93" w:type="dxa"/>
        <w:tblLook w:val="04A0" w:firstRow="1" w:lastRow="0" w:firstColumn="1" w:lastColumn="0" w:noHBand="0" w:noVBand="1"/>
      </w:tblPr>
      <w:tblGrid>
        <w:gridCol w:w="2121"/>
        <w:gridCol w:w="1679"/>
        <w:gridCol w:w="947"/>
        <w:gridCol w:w="947"/>
        <w:gridCol w:w="947"/>
        <w:gridCol w:w="947"/>
        <w:gridCol w:w="947"/>
        <w:gridCol w:w="993"/>
      </w:tblGrid>
      <w:tr w:rsidR="008F079A" w:rsidTr="001D4D91">
        <w:trPr>
          <w:trHeight w:val="315"/>
        </w:trPr>
        <w:tc>
          <w:tcPr>
            <w:tcW w:w="9527" w:type="dxa"/>
            <w:gridSpan w:val="8"/>
            <w:tcBorders>
              <w:top w:val="single" w:sz="4" w:space="0" w:color="auto"/>
              <w:left w:val="single" w:sz="4" w:space="0" w:color="auto"/>
              <w:bottom w:val="single" w:sz="4" w:space="0" w:color="auto"/>
              <w:right w:val="single" w:sz="4" w:space="0" w:color="000000"/>
            </w:tcBorders>
            <w:shd w:val="clear" w:color="000000" w:fill="C4BD97"/>
            <w:noWrap/>
            <w:vAlign w:val="bottom"/>
            <w:hideMark/>
          </w:tcPr>
          <w:p w:rsidR="008F079A" w:rsidRDefault="008F079A">
            <w:pPr>
              <w:jc w:val="center"/>
              <w:rPr>
                <w:rFonts w:ascii="Arial" w:hAnsi="Arial" w:cs="Arial"/>
                <w:b/>
                <w:bCs/>
              </w:rPr>
            </w:pPr>
            <w:r>
              <w:rPr>
                <w:rFonts w:ascii="Arial" w:hAnsi="Arial" w:cs="Arial"/>
                <w:b/>
                <w:bCs/>
              </w:rPr>
              <w:t>Total Physical Assaults</w:t>
            </w:r>
          </w:p>
        </w:tc>
      </w:tr>
      <w:tr w:rsidR="008F079A" w:rsidTr="001D4D91">
        <w:trPr>
          <w:trHeight w:val="31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rPr>
            </w:pPr>
            <w:r>
              <w:rPr>
                <w:rFonts w:ascii="Arial" w:hAnsi="Arial" w:cs="Arial"/>
                <w:b/>
                <w:bCs/>
              </w:rPr>
              <w:t> </w:t>
            </w:r>
          </w:p>
        </w:tc>
        <w:tc>
          <w:tcPr>
            <w:tcW w:w="1679"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5Yr Avg.</w:t>
            </w:r>
          </w:p>
        </w:tc>
        <w:tc>
          <w:tcPr>
            <w:tcW w:w="947" w:type="dxa"/>
            <w:tcBorders>
              <w:top w:val="nil"/>
              <w:left w:val="nil"/>
              <w:bottom w:val="nil"/>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2011</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2012</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2013</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2014</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2015</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2016</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January</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161</w:t>
            </w:r>
          </w:p>
        </w:tc>
        <w:tc>
          <w:tcPr>
            <w:tcW w:w="947" w:type="dxa"/>
            <w:tcBorders>
              <w:top w:val="single" w:sz="4" w:space="0" w:color="auto"/>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184</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125</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164</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171</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162</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140</w:t>
            </w:r>
          </w:p>
        </w:tc>
      </w:tr>
      <w:tr w:rsidR="008F079A" w:rsidTr="001D4D91">
        <w:trPr>
          <w:trHeight w:val="315"/>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February</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151</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161</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109</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176</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156</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152</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125</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March</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170</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151</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146</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158</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200</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195</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148</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April</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156</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164</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145</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170</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140</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161</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145</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May</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165</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148</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133</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166</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181</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199</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198</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June</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163</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132</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153</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194</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169</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166</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162</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July</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176</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133</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190</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198</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176</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185</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164</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August</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192</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157</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208</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202</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200</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192</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152</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September</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192</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151</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211</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234</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175</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187</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152</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October</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185</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149</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184</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188</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195</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209</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131</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November</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168</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104</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198</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156</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205</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176</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151</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December</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171</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103</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199</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175</w:t>
            </w:r>
          </w:p>
        </w:tc>
        <w:tc>
          <w:tcPr>
            <w:tcW w:w="94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228</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148</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149</w:t>
            </w:r>
          </w:p>
        </w:tc>
      </w:tr>
      <w:tr w:rsidR="008F079A" w:rsidTr="001D4D91">
        <w:trPr>
          <w:trHeight w:val="258"/>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Total</w:t>
            </w:r>
          </w:p>
        </w:tc>
        <w:tc>
          <w:tcPr>
            <w:tcW w:w="1679"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2049</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1737</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2001</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2181</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2196</w:t>
            </w:r>
          </w:p>
        </w:tc>
        <w:tc>
          <w:tcPr>
            <w:tcW w:w="94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2132</w:t>
            </w:r>
          </w:p>
        </w:tc>
        <w:tc>
          <w:tcPr>
            <w:tcW w:w="99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1817</w:t>
            </w:r>
          </w:p>
        </w:tc>
      </w:tr>
      <w:tr w:rsidR="008F079A" w:rsidTr="001D4D91">
        <w:trPr>
          <w:trHeight w:val="273"/>
        </w:trPr>
        <w:tc>
          <w:tcPr>
            <w:tcW w:w="2121"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 of ∆</w:t>
            </w:r>
          </w:p>
        </w:tc>
        <w:tc>
          <w:tcPr>
            <w:tcW w:w="1679" w:type="dxa"/>
            <w:tcBorders>
              <w:top w:val="nil"/>
              <w:left w:val="nil"/>
              <w:bottom w:val="single" w:sz="4" w:space="0" w:color="auto"/>
              <w:right w:val="single" w:sz="4" w:space="0" w:color="auto"/>
            </w:tcBorders>
            <w:shd w:val="clear" w:color="000000" w:fill="000000"/>
            <w:noWrap/>
            <w:vAlign w:val="bottom"/>
            <w:hideMark/>
          </w:tcPr>
          <w:p w:rsidR="008F079A" w:rsidRDefault="008F079A">
            <w:pPr>
              <w:rPr>
                <w:rFonts w:ascii="Arial" w:hAnsi="Arial" w:cs="Arial"/>
                <w:sz w:val="20"/>
                <w:szCs w:val="20"/>
              </w:rPr>
            </w:pPr>
            <w:r>
              <w:rPr>
                <w:rFonts w:ascii="Arial" w:hAnsi="Arial" w:cs="Arial"/>
                <w:sz w:val="20"/>
                <w:szCs w:val="20"/>
              </w:rPr>
              <w:t> </w:t>
            </w:r>
          </w:p>
        </w:tc>
        <w:tc>
          <w:tcPr>
            <w:tcW w:w="947" w:type="dxa"/>
            <w:tcBorders>
              <w:top w:val="nil"/>
              <w:left w:val="nil"/>
              <w:bottom w:val="single" w:sz="8"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47" w:type="dxa"/>
            <w:tcBorders>
              <w:top w:val="nil"/>
              <w:left w:val="nil"/>
              <w:bottom w:val="single" w:sz="8"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15%</w:t>
            </w:r>
          </w:p>
        </w:tc>
        <w:tc>
          <w:tcPr>
            <w:tcW w:w="947" w:type="dxa"/>
            <w:tcBorders>
              <w:top w:val="nil"/>
              <w:left w:val="nil"/>
              <w:bottom w:val="single" w:sz="8"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9%</w:t>
            </w:r>
          </w:p>
        </w:tc>
        <w:tc>
          <w:tcPr>
            <w:tcW w:w="947" w:type="dxa"/>
            <w:tcBorders>
              <w:top w:val="nil"/>
              <w:left w:val="nil"/>
              <w:bottom w:val="single" w:sz="8"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w:t>
            </w:r>
          </w:p>
        </w:tc>
        <w:tc>
          <w:tcPr>
            <w:tcW w:w="947" w:type="dxa"/>
            <w:tcBorders>
              <w:top w:val="nil"/>
              <w:left w:val="nil"/>
              <w:bottom w:val="single" w:sz="8"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-3%</w:t>
            </w:r>
          </w:p>
        </w:tc>
        <w:tc>
          <w:tcPr>
            <w:tcW w:w="993" w:type="dxa"/>
            <w:tcBorders>
              <w:top w:val="nil"/>
              <w:left w:val="nil"/>
              <w:bottom w:val="single" w:sz="8"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-15%</w:t>
            </w:r>
          </w:p>
        </w:tc>
      </w:tr>
    </w:tbl>
    <w:p w:rsidR="004F3F17" w:rsidRDefault="004F3F17" w:rsidP="0054534A">
      <w:pPr>
        <w:tabs>
          <w:tab w:val="left" w:pos="315"/>
        </w:tabs>
        <w:rPr>
          <w:noProof/>
        </w:rPr>
      </w:pPr>
    </w:p>
    <w:p w:rsidR="004F3F17" w:rsidRDefault="004F3F17" w:rsidP="0071736B">
      <w:pPr>
        <w:tabs>
          <w:tab w:val="left" w:pos="315"/>
        </w:tabs>
        <w:rPr>
          <w:noProof/>
        </w:rPr>
      </w:pPr>
    </w:p>
    <w:p w:rsidR="006F2EDE" w:rsidRDefault="008F079A" w:rsidP="0071736B">
      <w:pPr>
        <w:tabs>
          <w:tab w:val="left" w:pos="315"/>
        </w:tabs>
        <w:rPr>
          <w:noProof/>
        </w:rPr>
      </w:pPr>
      <w:r>
        <w:rPr>
          <w:noProof/>
        </w:rPr>
        <w:drawing>
          <wp:inline distT="0" distB="0" distL="0" distR="0" wp14:anchorId="571DA834" wp14:editId="400D3D0A">
            <wp:extent cx="6038850" cy="3810000"/>
            <wp:effectExtent l="0" t="0" r="19050" b="1905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4534A" w:rsidRDefault="0054534A" w:rsidP="00AE3572">
      <w:pPr>
        <w:outlineLvl w:val="0"/>
        <w:rPr>
          <w:b/>
          <w:i/>
          <w:sz w:val="28"/>
          <w:szCs w:val="28"/>
          <w:u w:val="single"/>
        </w:rPr>
      </w:pPr>
    </w:p>
    <w:p w:rsidR="0071633C" w:rsidRDefault="0071633C" w:rsidP="00AE3572">
      <w:pPr>
        <w:outlineLvl w:val="0"/>
        <w:rPr>
          <w:b/>
          <w:i/>
          <w:sz w:val="28"/>
          <w:szCs w:val="28"/>
          <w:u w:val="single"/>
        </w:rPr>
      </w:pPr>
      <w:r>
        <w:rPr>
          <w:b/>
          <w:i/>
          <w:sz w:val="28"/>
          <w:szCs w:val="28"/>
          <w:u w:val="single"/>
        </w:rPr>
        <w:lastRenderedPageBreak/>
        <w:t xml:space="preserve">Simple </w:t>
      </w:r>
      <w:r w:rsidRPr="00393AAF">
        <w:rPr>
          <w:b/>
          <w:i/>
          <w:sz w:val="28"/>
          <w:szCs w:val="28"/>
          <w:u w:val="single"/>
        </w:rPr>
        <w:t>Assaults</w:t>
      </w:r>
      <w:r>
        <w:rPr>
          <w:b/>
          <w:i/>
          <w:sz w:val="28"/>
          <w:szCs w:val="28"/>
          <w:u w:val="single"/>
        </w:rPr>
        <w:t>:</w:t>
      </w:r>
    </w:p>
    <w:p w:rsidR="0050695F" w:rsidRPr="00393AAF" w:rsidRDefault="0050695F" w:rsidP="0071633C">
      <w:pPr>
        <w:rPr>
          <w:b/>
          <w:i/>
          <w:sz w:val="28"/>
          <w:szCs w:val="28"/>
          <w:u w:val="single"/>
        </w:rPr>
      </w:pPr>
    </w:p>
    <w:p w:rsidR="00EC6AB8" w:rsidRDefault="0071736B" w:rsidP="0071736B">
      <w:pPr>
        <w:tabs>
          <w:tab w:val="left" w:pos="315"/>
          <w:tab w:val="left" w:pos="1710"/>
        </w:tabs>
        <w:jc w:val="both"/>
      </w:pPr>
      <w:r>
        <w:tab/>
      </w:r>
      <w:r w:rsidR="00F25C79">
        <w:t xml:space="preserve">Simple </w:t>
      </w:r>
      <w:r w:rsidR="00B9733D">
        <w:t>A</w:t>
      </w:r>
      <w:r w:rsidR="00F25C79">
        <w:t xml:space="preserve">ssaults </w:t>
      </w:r>
      <w:r w:rsidR="0043255D">
        <w:t>de</w:t>
      </w:r>
      <w:r w:rsidR="0050695F">
        <w:t>creased</w:t>
      </w:r>
      <w:r w:rsidR="00F25C79">
        <w:t xml:space="preserve"> </w:t>
      </w:r>
      <w:r w:rsidR="00295525">
        <w:rPr>
          <w:b/>
        </w:rPr>
        <w:t>29</w:t>
      </w:r>
      <w:r w:rsidR="00F25C79" w:rsidRPr="007F28E5">
        <w:rPr>
          <w:b/>
        </w:rPr>
        <w:t>%</w:t>
      </w:r>
      <w:r w:rsidR="00F25C79">
        <w:t xml:space="preserve"> </w:t>
      </w:r>
      <w:r w:rsidR="0086475B">
        <w:t>in 20</w:t>
      </w:r>
      <w:r w:rsidR="00295525">
        <w:t>16</w:t>
      </w:r>
      <w:r w:rsidR="0086475B">
        <w:t xml:space="preserve"> </w:t>
      </w:r>
      <w:r w:rsidR="00F25C79">
        <w:t xml:space="preserve">when compared to </w:t>
      </w:r>
      <w:r w:rsidR="00295525">
        <w:t>2015</w:t>
      </w:r>
      <w:r w:rsidR="0050695F">
        <w:t xml:space="preserve"> </w:t>
      </w:r>
      <w:r w:rsidR="00295525">
        <w:t xml:space="preserve">also decreased </w:t>
      </w:r>
      <w:r w:rsidR="00295525" w:rsidRPr="00295525">
        <w:rPr>
          <w:b/>
        </w:rPr>
        <w:t>30%</w:t>
      </w:r>
      <w:r w:rsidR="00295525">
        <w:t xml:space="preserve"> when</w:t>
      </w:r>
      <w:r w:rsidR="00F25C79">
        <w:t xml:space="preserve"> compared to the </w:t>
      </w:r>
      <w:r w:rsidR="00A63800">
        <w:t xml:space="preserve">previous </w:t>
      </w:r>
      <w:r w:rsidR="00F25C79">
        <w:t>five-year average.</w:t>
      </w:r>
      <w:r w:rsidR="00EC6AB8" w:rsidRPr="00EC6AB8">
        <w:t xml:space="preserve"> </w:t>
      </w:r>
    </w:p>
    <w:p w:rsidR="00F25C79" w:rsidRDefault="00F25C79" w:rsidP="00E14F60"/>
    <w:tbl>
      <w:tblPr>
        <w:tblW w:w="9453" w:type="dxa"/>
        <w:tblInd w:w="93" w:type="dxa"/>
        <w:tblLook w:val="04A0" w:firstRow="1" w:lastRow="0" w:firstColumn="1" w:lastColumn="0" w:noHBand="0" w:noVBand="1"/>
      </w:tblPr>
      <w:tblGrid>
        <w:gridCol w:w="2095"/>
        <w:gridCol w:w="1658"/>
        <w:gridCol w:w="936"/>
        <w:gridCol w:w="936"/>
        <w:gridCol w:w="936"/>
        <w:gridCol w:w="936"/>
        <w:gridCol w:w="978"/>
        <w:gridCol w:w="978"/>
      </w:tblGrid>
      <w:tr w:rsidR="008F079A" w:rsidTr="002C10FE">
        <w:trPr>
          <w:trHeight w:val="286"/>
        </w:trPr>
        <w:tc>
          <w:tcPr>
            <w:tcW w:w="9453"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8F079A" w:rsidRDefault="008F079A" w:rsidP="002C10FE">
            <w:pPr>
              <w:jc w:val="center"/>
              <w:rPr>
                <w:rFonts w:ascii="Arial" w:hAnsi="Arial" w:cs="Arial"/>
                <w:b/>
                <w:bCs/>
              </w:rPr>
            </w:pPr>
            <w:r>
              <w:rPr>
                <w:rFonts w:ascii="Arial" w:hAnsi="Arial" w:cs="Arial"/>
                <w:b/>
                <w:bCs/>
              </w:rPr>
              <w:t>Simple Assault</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rPr>
            </w:pP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5Yr Avg.</w:t>
            </w:r>
          </w:p>
        </w:tc>
        <w:tc>
          <w:tcPr>
            <w:tcW w:w="936" w:type="dxa"/>
            <w:tcBorders>
              <w:top w:val="nil"/>
              <w:left w:val="nil"/>
              <w:bottom w:val="nil"/>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2011</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2012</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2013</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2014</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2015</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2016</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January</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95</w:t>
            </w:r>
          </w:p>
        </w:tc>
        <w:tc>
          <w:tcPr>
            <w:tcW w:w="936" w:type="dxa"/>
            <w:tcBorders>
              <w:top w:val="single" w:sz="4" w:space="0" w:color="auto"/>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124</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64</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103</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103</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82</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70</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February</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93</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108</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53</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114</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121</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71</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68</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March</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101</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80</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80</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99</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132</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113</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75</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April</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90</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92</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73</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120</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79</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87</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75</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May</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104</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77</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77</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119</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131</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116</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97</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June</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95</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56</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73</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137</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108</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103</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77</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July</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113</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62</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118</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137</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130</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117</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76</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August</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130</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86</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147</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145</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141</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131</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70</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September</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133</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90</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152</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186</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118</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119</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78</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October</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121</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86</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125</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125</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130</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137</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68</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November</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115</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54</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133</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107</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149</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131</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73</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December</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107</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65</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139</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115</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140</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75</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78</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Total</w:t>
            </w:r>
          </w:p>
        </w:tc>
        <w:tc>
          <w:tcPr>
            <w:tcW w:w="165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1297</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980</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1234</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1507</w:t>
            </w:r>
          </w:p>
        </w:tc>
        <w:tc>
          <w:tcPr>
            <w:tcW w:w="93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1482</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1282</w:t>
            </w:r>
          </w:p>
        </w:tc>
        <w:tc>
          <w:tcPr>
            <w:tcW w:w="97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905</w:t>
            </w:r>
          </w:p>
        </w:tc>
      </w:tr>
      <w:tr w:rsidR="008F079A" w:rsidTr="002C10FE">
        <w:trPr>
          <w:trHeight w:val="286"/>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 of ∆</w:t>
            </w:r>
          </w:p>
        </w:tc>
        <w:tc>
          <w:tcPr>
            <w:tcW w:w="1658" w:type="dxa"/>
            <w:tcBorders>
              <w:top w:val="nil"/>
              <w:left w:val="nil"/>
              <w:bottom w:val="single" w:sz="4" w:space="0" w:color="auto"/>
              <w:right w:val="single" w:sz="4" w:space="0" w:color="auto"/>
            </w:tcBorders>
            <w:shd w:val="clear" w:color="000000" w:fill="000000"/>
            <w:noWrap/>
            <w:vAlign w:val="center"/>
            <w:hideMark/>
          </w:tcPr>
          <w:p w:rsidR="008F079A" w:rsidRDefault="008F079A" w:rsidP="002C10FE">
            <w:pPr>
              <w:jc w:val="center"/>
              <w:rPr>
                <w:rFonts w:ascii="Arial" w:hAnsi="Arial" w:cs="Arial"/>
                <w:sz w:val="20"/>
                <w:szCs w:val="20"/>
              </w:rPr>
            </w:pPr>
          </w:p>
        </w:tc>
        <w:tc>
          <w:tcPr>
            <w:tcW w:w="936" w:type="dxa"/>
            <w:tcBorders>
              <w:top w:val="nil"/>
              <w:left w:val="nil"/>
              <w:bottom w:val="single" w:sz="8" w:space="0" w:color="auto"/>
              <w:right w:val="single" w:sz="4" w:space="0" w:color="auto"/>
            </w:tcBorders>
            <w:shd w:val="clear" w:color="000000" w:fill="000000"/>
            <w:noWrap/>
            <w:vAlign w:val="center"/>
            <w:hideMark/>
          </w:tcPr>
          <w:p w:rsidR="008F079A" w:rsidRDefault="008F079A" w:rsidP="002C10FE">
            <w:pPr>
              <w:jc w:val="center"/>
              <w:rPr>
                <w:rFonts w:ascii="Arial" w:hAnsi="Arial" w:cs="Arial"/>
                <w:b/>
                <w:bCs/>
                <w:sz w:val="20"/>
                <w:szCs w:val="20"/>
              </w:rPr>
            </w:pPr>
          </w:p>
        </w:tc>
        <w:tc>
          <w:tcPr>
            <w:tcW w:w="936" w:type="dxa"/>
            <w:tcBorders>
              <w:top w:val="nil"/>
              <w:left w:val="nil"/>
              <w:bottom w:val="single" w:sz="8"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26%</w:t>
            </w:r>
          </w:p>
        </w:tc>
        <w:tc>
          <w:tcPr>
            <w:tcW w:w="936" w:type="dxa"/>
            <w:tcBorders>
              <w:top w:val="nil"/>
              <w:left w:val="nil"/>
              <w:bottom w:val="single" w:sz="8"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22%</w:t>
            </w:r>
          </w:p>
        </w:tc>
        <w:tc>
          <w:tcPr>
            <w:tcW w:w="936" w:type="dxa"/>
            <w:tcBorders>
              <w:top w:val="nil"/>
              <w:left w:val="nil"/>
              <w:bottom w:val="single" w:sz="8"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w:t>
            </w:r>
          </w:p>
        </w:tc>
        <w:tc>
          <w:tcPr>
            <w:tcW w:w="978" w:type="dxa"/>
            <w:tcBorders>
              <w:top w:val="nil"/>
              <w:left w:val="nil"/>
              <w:bottom w:val="single" w:sz="8"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-13%</w:t>
            </w:r>
          </w:p>
        </w:tc>
        <w:tc>
          <w:tcPr>
            <w:tcW w:w="978" w:type="dxa"/>
            <w:tcBorders>
              <w:top w:val="nil"/>
              <w:left w:val="nil"/>
              <w:bottom w:val="single" w:sz="8"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-29%</w:t>
            </w:r>
          </w:p>
        </w:tc>
      </w:tr>
    </w:tbl>
    <w:p w:rsidR="0086494C" w:rsidRDefault="0086494C" w:rsidP="0054534A"/>
    <w:p w:rsidR="008B2BCB" w:rsidRDefault="008B2BCB" w:rsidP="006F2EDE"/>
    <w:p w:rsidR="0054534A" w:rsidRDefault="0054534A" w:rsidP="006F2EDE"/>
    <w:p w:rsidR="0054534A" w:rsidRDefault="008F079A" w:rsidP="006F2EDE">
      <w:r>
        <w:rPr>
          <w:noProof/>
        </w:rPr>
        <w:drawing>
          <wp:inline distT="0" distB="0" distL="0" distR="0" wp14:anchorId="0AA03E9C" wp14:editId="022CF303">
            <wp:extent cx="5943600" cy="3476625"/>
            <wp:effectExtent l="0" t="0" r="19050" b="952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D5899" w:rsidRDefault="000D5899" w:rsidP="00AE3572">
      <w:pPr>
        <w:outlineLvl w:val="0"/>
      </w:pPr>
    </w:p>
    <w:p w:rsidR="0071633C" w:rsidRDefault="0071633C" w:rsidP="00AE3572">
      <w:pPr>
        <w:outlineLvl w:val="0"/>
        <w:rPr>
          <w:b/>
          <w:i/>
          <w:sz w:val="28"/>
          <w:szCs w:val="28"/>
          <w:u w:val="single"/>
        </w:rPr>
      </w:pPr>
      <w:r>
        <w:rPr>
          <w:b/>
          <w:i/>
          <w:sz w:val="28"/>
          <w:szCs w:val="28"/>
          <w:u w:val="single"/>
        </w:rPr>
        <w:lastRenderedPageBreak/>
        <w:t xml:space="preserve">Domestic </w:t>
      </w:r>
      <w:r w:rsidRPr="00393AAF">
        <w:rPr>
          <w:b/>
          <w:i/>
          <w:sz w:val="28"/>
          <w:szCs w:val="28"/>
          <w:u w:val="single"/>
        </w:rPr>
        <w:t>Assaults</w:t>
      </w:r>
      <w:r>
        <w:rPr>
          <w:b/>
          <w:i/>
          <w:sz w:val="28"/>
          <w:szCs w:val="28"/>
          <w:u w:val="single"/>
        </w:rPr>
        <w:t>:</w:t>
      </w:r>
    </w:p>
    <w:p w:rsidR="0050695F" w:rsidRPr="00393AAF" w:rsidRDefault="0050695F" w:rsidP="0071633C">
      <w:pPr>
        <w:rPr>
          <w:b/>
          <w:i/>
          <w:sz w:val="28"/>
          <w:szCs w:val="28"/>
          <w:u w:val="single"/>
        </w:rPr>
      </w:pPr>
    </w:p>
    <w:p w:rsidR="000D7603" w:rsidRDefault="00F25C79" w:rsidP="00134752">
      <w:pPr>
        <w:ind w:firstLine="720"/>
      </w:pPr>
      <w:r>
        <w:t xml:space="preserve">Domestic violence assaults </w:t>
      </w:r>
      <w:r w:rsidR="0043255D">
        <w:t>in</w:t>
      </w:r>
      <w:r w:rsidR="00A22AA0">
        <w:t>creased</w:t>
      </w:r>
      <w:r>
        <w:t xml:space="preserve"> </w:t>
      </w:r>
      <w:r w:rsidR="00295525">
        <w:rPr>
          <w:b/>
        </w:rPr>
        <w:t>10</w:t>
      </w:r>
      <w:r w:rsidRPr="00A22AA0">
        <w:rPr>
          <w:b/>
        </w:rPr>
        <w:t>%</w:t>
      </w:r>
      <w:r>
        <w:t xml:space="preserve"> </w:t>
      </w:r>
      <w:r w:rsidR="0043255D">
        <w:t>from 2</w:t>
      </w:r>
      <w:r w:rsidR="00295525">
        <w:t>015</w:t>
      </w:r>
      <w:r w:rsidR="0050695F">
        <w:t xml:space="preserve"> </w:t>
      </w:r>
      <w:r w:rsidR="00111377">
        <w:t xml:space="preserve">and have increased </w:t>
      </w:r>
      <w:r w:rsidR="00295525">
        <w:rPr>
          <w:b/>
        </w:rPr>
        <w:t>22</w:t>
      </w:r>
      <w:r w:rsidRPr="00111377">
        <w:rPr>
          <w:b/>
        </w:rPr>
        <w:t>%</w:t>
      </w:r>
      <w:r>
        <w:t xml:space="preserve"> compared to the </w:t>
      </w:r>
      <w:r w:rsidR="00A63800">
        <w:t xml:space="preserve">previous </w:t>
      </w:r>
      <w:r>
        <w:t>five-year average.</w:t>
      </w:r>
    </w:p>
    <w:p w:rsidR="00A63800" w:rsidRDefault="00A63800" w:rsidP="00E14F60"/>
    <w:tbl>
      <w:tblPr>
        <w:tblW w:w="9437" w:type="dxa"/>
        <w:tblInd w:w="93" w:type="dxa"/>
        <w:tblLook w:val="04A0" w:firstRow="1" w:lastRow="0" w:firstColumn="1" w:lastColumn="0" w:noHBand="0" w:noVBand="1"/>
      </w:tblPr>
      <w:tblGrid>
        <w:gridCol w:w="2100"/>
        <w:gridCol w:w="1663"/>
        <w:gridCol w:w="938"/>
        <w:gridCol w:w="938"/>
        <w:gridCol w:w="982"/>
        <w:gridCol w:w="938"/>
        <w:gridCol w:w="938"/>
        <w:gridCol w:w="940"/>
      </w:tblGrid>
      <w:tr w:rsidR="008F079A" w:rsidTr="002C10FE">
        <w:trPr>
          <w:trHeight w:val="326"/>
        </w:trPr>
        <w:tc>
          <w:tcPr>
            <w:tcW w:w="9437" w:type="dxa"/>
            <w:gridSpan w:val="8"/>
            <w:tcBorders>
              <w:top w:val="single" w:sz="4" w:space="0" w:color="auto"/>
              <w:left w:val="single" w:sz="4" w:space="0" w:color="auto"/>
              <w:bottom w:val="single" w:sz="4" w:space="0" w:color="auto"/>
              <w:right w:val="single" w:sz="4" w:space="0" w:color="000000"/>
            </w:tcBorders>
            <w:shd w:val="clear" w:color="000000" w:fill="C4BD97"/>
            <w:noWrap/>
            <w:vAlign w:val="bottom"/>
            <w:hideMark/>
          </w:tcPr>
          <w:p w:rsidR="008F079A" w:rsidRDefault="008F079A">
            <w:pPr>
              <w:jc w:val="center"/>
              <w:rPr>
                <w:rFonts w:ascii="Arial" w:hAnsi="Arial" w:cs="Arial"/>
                <w:b/>
                <w:bCs/>
              </w:rPr>
            </w:pPr>
            <w:r>
              <w:rPr>
                <w:rFonts w:ascii="Arial" w:hAnsi="Arial" w:cs="Arial"/>
                <w:b/>
                <w:bCs/>
              </w:rPr>
              <w:t>Domestic Violence</w:t>
            </w:r>
          </w:p>
        </w:tc>
      </w:tr>
      <w:tr w:rsidR="008F079A" w:rsidTr="002C10FE">
        <w:trPr>
          <w:trHeight w:val="326"/>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rPr>
            </w:pPr>
            <w:r>
              <w:rPr>
                <w:rFonts w:ascii="Arial" w:hAnsi="Arial" w:cs="Arial"/>
                <w:b/>
                <w:bCs/>
              </w:rPr>
              <w:t> </w:t>
            </w:r>
          </w:p>
        </w:tc>
        <w:tc>
          <w:tcPr>
            <w:tcW w:w="1663"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5Yr Avg.</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2012</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2016</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January</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58</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57</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58</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52</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64</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February</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54</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51</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54</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58</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55</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March</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64</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61</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63</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67</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April</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61</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70</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70</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62</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May</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58</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55</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49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93</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June</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63</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76</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52</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76</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July</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69</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60</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54</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81</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August</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57</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55</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77</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September</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52</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59</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51</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36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73</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October</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59</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60</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54</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57</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58</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November</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48</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46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61</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43</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48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71</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December</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58</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54</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45</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85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67</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Total</w:t>
            </w:r>
          </w:p>
        </w:tc>
        <w:tc>
          <w:tcPr>
            <w:tcW w:w="1663"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689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715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711</w:t>
            </w:r>
          </w:p>
        </w:tc>
        <w:tc>
          <w:tcPr>
            <w:tcW w:w="982"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598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652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768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844</w:t>
            </w:r>
          </w:p>
        </w:tc>
      </w:tr>
      <w:tr w:rsidR="008F079A" w:rsidTr="002C10FE">
        <w:trPr>
          <w:trHeight w:val="264"/>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 of ∆</w:t>
            </w:r>
          </w:p>
        </w:tc>
        <w:tc>
          <w:tcPr>
            <w:tcW w:w="1663" w:type="dxa"/>
            <w:tcBorders>
              <w:top w:val="nil"/>
              <w:left w:val="nil"/>
              <w:bottom w:val="single" w:sz="4" w:space="0" w:color="auto"/>
              <w:right w:val="single" w:sz="4" w:space="0" w:color="auto"/>
            </w:tcBorders>
            <w:shd w:val="clear" w:color="000000" w:fill="000000"/>
            <w:noWrap/>
            <w:vAlign w:val="bottom"/>
            <w:hideMark/>
          </w:tcPr>
          <w:p w:rsidR="008F079A" w:rsidRDefault="008F079A">
            <w:pPr>
              <w:rPr>
                <w:rFonts w:ascii="Arial" w:hAnsi="Arial" w:cs="Arial"/>
                <w:sz w:val="20"/>
                <w:szCs w:val="20"/>
              </w:rPr>
            </w:pPr>
            <w:r>
              <w:rPr>
                <w:rFonts w:ascii="Arial" w:hAnsi="Arial" w:cs="Arial"/>
                <w:sz w:val="20"/>
                <w:szCs w:val="20"/>
              </w:rPr>
              <w:t> </w:t>
            </w:r>
          </w:p>
        </w:tc>
        <w:tc>
          <w:tcPr>
            <w:tcW w:w="938"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w:t>
            </w:r>
          </w:p>
        </w:tc>
        <w:tc>
          <w:tcPr>
            <w:tcW w:w="982"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-16%</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9%</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18%</w:t>
            </w:r>
          </w:p>
        </w:tc>
        <w:tc>
          <w:tcPr>
            <w:tcW w:w="938"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10%</w:t>
            </w:r>
          </w:p>
        </w:tc>
      </w:tr>
    </w:tbl>
    <w:p w:rsidR="00710228" w:rsidRDefault="00710228" w:rsidP="00E14F60"/>
    <w:p w:rsidR="00392A6B" w:rsidRDefault="00392A6B" w:rsidP="00E14F60"/>
    <w:p w:rsidR="002C10FE" w:rsidRDefault="002C10FE" w:rsidP="00E14F60"/>
    <w:p w:rsidR="002C10FE" w:rsidRDefault="002C10FE" w:rsidP="00E14F60"/>
    <w:p w:rsidR="00134752" w:rsidRDefault="008F079A" w:rsidP="00E14F60">
      <w:r>
        <w:rPr>
          <w:noProof/>
        </w:rPr>
        <w:drawing>
          <wp:inline distT="0" distB="0" distL="0" distR="0" wp14:anchorId="4A74340C" wp14:editId="2E3A9303">
            <wp:extent cx="5943600" cy="3409950"/>
            <wp:effectExtent l="0" t="0" r="19050" b="1905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65F7E" w:rsidRDefault="00265F7E" w:rsidP="00A63800">
      <w:pPr>
        <w:tabs>
          <w:tab w:val="left" w:pos="1044"/>
        </w:tabs>
      </w:pPr>
    </w:p>
    <w:p w:rsidR="005D03A1" w:rsidRDefault="005D03A1" w:rsidP="00A63800">
      <w:pPr>
        <w:tabs>
          <w:tab w:val="left" w:pos="1044"/>
        </w:tabs>
      </w:pPr>
    </w:p>
    <w:p w:rsidR="000D5899" w:rsidRDefault="000D5899" w:rsidP="00A63800">
      <w:pPr>
        <w:tabs>
          <w:tab w:val="left" w:pos="1044"/>
        </w:tabs>
      </w:pPr>
    </w:p>
    <w:p w:rsidR="00A63800" w:rsidRDefault="00A63800" w:rsidP="00AE3572">
      <w:pPr>
        <w:outlineLvl w:val="0"/>
        <w:rPr>
          <w:b/>
          <w:i/>
          <w:sz w:val="28"/>
          <w:szCs w:val="28"/>
          <w:u w:val="single"/>
        </w:rPr>
      </w:pPr>
      <w:r>
        <w:rPr>
          <w:b/>
          <w:i/>
          <w:sz w:val="28"/>
          <w:szCs w:val="28"/>
          <w:u w:val="single"/>
        </w:rPr>
        <w:t>Property Crimes:</w:t>
      </w:r>
    </w:p>
    <w:p w:rsidR="00A22AA0" w:rsidRDefault="00A22AA0" w:rsidP="00E14F60">
      <w:pPr>
        <w:rPr>
          <w:sz w:val="32"/>
          <w:szCs w:val="32"/>
        </w:rPr>
      </w:pPr>
    </w:p>
    <w:p w:rsidR="00A22AA0" w:rsidRDefault="00A22AA0" w:rsidP="00E14F60">
      <w:pPr>
        <w:rPr>
          <w:sz w:val="32"/>
          <w:szCs w:val="32"/>
        </w:rPr>
      </w:pPr>
    </w:p>
    <w:p w:rsidR="00A22AA0" w:rsidRDefault="008F079A" w:rsidP="005D03A1">
      <w:pPr>
        <w:jc w:val="center"/>
        <w:rPr>
          <w:sz w:val="32"/>
          <w:szCs w:val="32"/>
        </w:rPr>
      </w:pPr>
      <w:r>
        <w:rPr>
          <w:noProof/>
        </w:rPr>
        <w:drawing>
          <wp:inline distT="0" distB="0" distL="0" distR="0" wp14:anchorId="0F947B5A" wp14:editId="784533B1">
            <wp:extent cx="4836584" cy="2857500"/>
            <wp:effectExtent l="0" t="0" r="21590" b="1905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56904" w:rsidRDefault="00A56904" w:rsidP="002A4C16">
      <w:pPr>
        <w:jc w:val="center"/>
        <w:rPr>
          <w:sz w:val="32"/>
          <w:szCs w:val="32"/>
        </w:rPr>
      </w:pPr>
    </w:p>
    <w:p w:rsidR="000D7603" w:rsidRDefault="000D7603" w:rsidP="00E14F60">
      <w:pPr>
        <w:rPr>
          <w:sz w:val="32"/>
          <w:szCs w:val="32"/>
        </w:rPr>
      </w:pPr>
    </w:p>
    <w:p w:rsidR="000D7603" w:rsidRDefault="000D7603" w:rsidP="00E14F60">
      <w:pPr>
        <w:rPr>
          <w:sz w:val="32"/>
          <w:szCs w:val="32"/>
        </w:rPr>
      </w:pPr>
    </w:p>
    <w:p w:rsidR="0090040F" w:rsidRDefault="0090040F" w:rsidP="0065706F">
      <w:pPr>
        <w:rPr>
          <w:b/>
        </w:rPr>
      </w:pPr>
    </w:p>
    <w:p w:rsidR="0065706F" w:rsidRPr="00831A0C" w:rsidRDefault="0065706F" w:rsidP="00AE3572">
      <w:pPr>
        <w:outlineLvl w:val="0"/>
        <w:rPr>
          <w:b/>
          <w:color w:val="000000" w:themeColor="text1"/>
        </w:rPr>
      </w:pPr>
      <w:r w:rsidRPr="00831A0C">
        <w:rPr>
          <w:b/>
          <w:color w:val="000000" w:themeColor="text1"/>
        </w:rPr>
        <w:t>Definition</w:t>
      </w:r>
    </w:p>
    <w:p w:rsidR="0065706F" w:rsidRPr="00831A0C" w:rsidRDefault="00831A0C" w:rsidP="0065706F">
      <w:pPr>
        <w:rPr>
          <w:color w:val="000000" w:themeColor="text1"/>
        </w:rPr>
      </w:pPr>
      <w:r w:rsidRPr="00831A0C">
        <w:rPr>
          <w:color w:val="000000" w:themeColor="text1"/>
        </w:rPr>
        <w:t>P</w:t>
      </w:r>
      <w:r w:rsidR="0065706F" w:rsidRPr="00831A0C">
        <w:rPr>
          <w:color w:val="000000" w:themeColor="text1"/>
        </w:rPr>
        <w:t>roperty crime includes the offenses of</w:t>
      </w:r>
      <w:r w:rsidRPr="00831A0C">
        <w:rPr>
          <w:color w:val="000000" w:themeColor="text1"/>
        </w:rPr>
        <w:t>:</w:t>
      </w:r>
      <w:r w:rsidR="0065706F" w:rsidRPr="00831A0C">
        <w:rPr>
          <w:color w:val="000000" w:themeColor="text1"/>
        </w:rPr>
        <w:t xml:space="preserve"> </w:t>
      </w:r>
    </w:p>
    <w:p w:rsidR="0065706F" w:rsidRPr="00831A0C" w:rsidRDefault="0065706F" w:rsidP="0065706F">
      <w:pPr>
        <w:numPr>
          <w:ilvl w:val="0"/>
          <w:numId w:val="3"/>
        </w:numPr>
        <w:rPr>
          <w:color w:val="000000" w:themeColor="text1"/>
        </w:rPr>
      </w:pPr>
      <w:r w:rsidRPr="00831A0C">
        <w:rPr>
          <w:color w:val="000000" w:themeColor="text1"/>
        </w:rPr>
        <w:t>Burglary</w:t>
      </w:r>
    </w:p>
    <w:p w:rsidR="0065706F" w:rsidRPr="00831A0C" w:rsidRDefault="0065706F" w:rsidP="0065706F">
      <w:pPr>
        <w:numPr>
          <w:ilvl w:val="0"/>
          <w:numId w:val="3"/>
        </w:numPr>
        <w:rPr>
          <w:color w:val="000000" w:themeColor="text1"/>
        </w:rPr>
      </w:pPr>
      <w:r w:rsidRPr="00831A0C">
        <w:rPr>
          <w:color w:val="000000" w:themeColor="text1"/>
        </w:rPr>
        <w:t>Larceny-theft</w:t>
      </w:r>
    </w:p>
    <w:p w:rsidR="0065706F" w:rsidRPr="00831A0C" w:rsidRDefault="0065706F" w:rsidP="0065706F">
      <w:pPr>
        <w:numPr>
          <w:ilvl w:val="0"/>
          <w:numId w:val="3"/>
        </w:numPr>
        <w:rPr>
          <w:color w:val="000000" w:themeColor="text1"/>
        </w:rPr>
      </w:pPr>
      <w:r w:rsidRPr="00831A0C">
        <w:rPr>
          <w:color w:val="000000" w:themeColor="text1"/>
        </w:rPr>
        <w:t>Motor vehicle theft</w:t>
      </w:r>
    </w:p>
    <w:p w:rsidR="0065706F" w:rsidRPr="00831A0C" w:rsidRDefault="0065706F" w:rsidP="0065706F">
      <w:pPr>
        <w:rPr>
          <w:color w:val="000000" w:themeColor="text1"/>
        </w:rPr>
      </w:pPr>
      <w:r w:rsidRPr="00831A0C">
        <w:rPr>
          <w:color w:val="000000" w:themeColor="text1"/>
        </w:rPr>
        <w:t>The object of the theft-type offenses is the taking of money or property, but there is no force or threat of force against the victims. Although arson is a crime that involves the destruction of property, we will not include it in this section.</w:t>
      </w:r>
    </w:p>
    <w:p w:rsidR="0065706F" w:rsidRPr="002A4C16" w:rsidRDefault="0065706F" w:rsidP="00E14F60">
      <w:pPr>
        <w:tabs>
          <w:tab w:val="left" w:pos="2010"/>
        </w:tabs>
        <w:rPr>
          <w:color w:val="FF0000"/>
          <w:sz w:val="32"/>
          <w:szCs w:val="32"/>
        </w:rPr>
      </w:pPr>
    </w:p>
    <w:p w:rsidR="0065706F" w:rsidRDefault="0065706F" w:rsidP="00E14F60">
      <w:pPr>
        <w:tabs>
          <w:tab w:val="left" w:pos="2010"/>
        </w:tabs>
        <w:rPr>
          <w:sz w:val="32"/>
          <w:szCs w:val="32"/>
        </w:rPr>
      </w:pPr>
    </w:p>
    <w:p w:rsidR="0065706F" w:rsidRDefault="0065706F" w:rsidP="00E14F60">
      <w:pPr>
        <w:tabs>
          <w:tab w:val="left" w:pos="2010"/>
        </w:tabs>
        <w:rPr>
          <w:sz w:val="32"/>
          <w:szCs w:val="32"/>
        </w:rPr>
      </w:pPr>
    </w:p>
    <w:p w:rsidR="0065706F" w:rsidRDefault="0065706F" w:rsidP="00E14F60">
      <w:pPr>
        <w:tabs>
          <w:tab w:val="left" w:pos="2010"/>
        </w:tabs>
        <w:rPr>
          <w:sz w:val="32"/>
          <w:szCs w:val="32"/>
        </w:rPr>
      </w:pPr>
    </w:p>
    <w:p w:rsidR="0065706F" w:rsidRDefault="0065706F" w:rsidP="00E14F60">
      <w:pPr>
        <w:tabs>
          <w:tab w:val="left" w:pos="2010"/>
        </w:tabs>
        <w:rPr>
          <w:sz w:val="32"/>
          <w:szCs w:val="32"/>
        </w:rPr>
      </w:pPr>
    </w:p>
    <w:p w:rsidR="00A63800" w:rsidRDefault="00A63800" w:rsidP="00E14F60">
      <w:pPr>
        <w:tabs>
          <w:tab w:val="left" w:pos="2010"/>
        </w:tabs>
        <w:rPr>
          <w:sz w:val="32"/>
          <w:szCs w:val="32"/>
        </w:rPr>
      </w:pPr>
    </w:p>
    <w:p w:rsidR="004935C3" w:rsidRDefault="004935C3" w:rsidP="00E14F60">
      <w:pPr>
        <w:tabs>
          <w:tab w:val="left" w:pos="2010"/>
        </w:tabs>
        <w:rPr>
          <w:sz w:val="32"/>
          <w:szCs w:val="32"/>
        </w:rPr>
      </w:pPr>
    </w:p>
    <w:p w:rsidR="00111B76" w:rsidRDefault="00111B76" w:rsidP="00AE3572">
      <w:pPr>
        <w:tabs>
          <w:tab w:val="left" w:pos="2010"/>
        </w:tabs>
        <w:outlineLvl w:val="0"/>
        <w:rPr>
          <w:sz w:val="32"/>
          <w:szCs w:val="32"/>
        </w:rPr>
      </w:pPr>
    </w:p>
    <w:p w:rsidR="003B4E0C" w:rsidRPr="0090040F" w:rsidRDefault="00A63800" w:rsidP="00AE3572">
      <w:pPr>
        <w:tabs>
          <w:tab w:val="left" w:pos="2010"/>
        </w:tabs>
        <w:outlineLvl w:val="0"/>
        <w:rPr>
          <w:b/>
          <w:i/>
          <w:sz w:val="28"/>
          <w:szCs w:val="28"/>
          <w:u w:val="single"/>
        </w:rPr>
      </w:pPr>
      <w:r>
        <w:rPr>
          <w:b/>
          <w:i/>
          <w:sz w:val="28"/>
          <w:szCs w:val="28"/>
          <w:u w:val="single"/>
        </w:rPr>
        <w:lastRenderedPageBreak/>
        <w:t xml:space="preserve">Total </w:t>
      </w:r>
      <w:r w:rsidR="003B4E0C" w:rsidRPr="0090040F">
        <w:rPr>
          <w:b/>
          <w:i/>
          <w:sz w:val="28"/>
          <w:szCs w:val="28"/>
          <w:u w:val="single"/>
        </w:rPr>
        <w:t>Property Crimes</w:t>
      </w:r>
      <w:r w:rsidR="0050695F">
        <w:rPr>
          <w:b/>
          <w:i/>
          <w:sz w:val="28"/>
          <w:szCs w:val="28"/>
          <w:u w:val="single"/>
        </w:rPr>
        <w:t>:</w:t>
      </w:r>
    </w:p>
    <w:p w:rsidR="0090040F" w:rsidRDefault="003B4E0C" w:rsidP="003B4E0C">
      <w:pPr>
        <w:tabs>
          <w:tab w:val="left" w:pos="720"/>
        </w:tabs>
      </w:pPr>
      <w:r>
        <w:tab/>
      </w:r>
    </w:p>
    <w:p w:rsidR="003B4E0C" w:rsidRDefault="00134752" w:rsidP="00DF58E1">
      <w:pPr>
        <w:tabs>
          <w:tab w:val="left" w:pos="720"/>
        </w:tabs>
        <w:ind w:right="-180"/>
      </w:pPr>
      <w:r>
        <w:tab/>
      </w:r>
      <w:r w:rsidR="003B4E0C">
        <w:t xml:space="preserve">Property crimes </w:t>
      </w:r>
      <w:r w:rsidR="004C319D">
        <w:t xml:space="preserve">as a whole </w:t>
      </w:r>
      <w:r w:rsidR="00111B76">
        <w:t xml:space="preserve">increased 6% by the end </w:t>
      </w:r>
      <w:r w:rsidR="00030C3B">
        <w:t xml:space="preserve">of </w:t>
      </w:r>
      <w:r w:rsidR="004455DC">
        <w:t>20</w:t>
      </w:r>
      <w:r w:rsidR="00111B76">
        <w:t>16</w:t>
      </w:r>
      <w:r w:rsidR="004455DC">
        <w:t xml:space="preserve"> </w:t>
      </w:r>
      <w:r w:rsidR="003B4E0C">
        <w:t xml:space="preserve">when compared to </w:t>
      </w:r>
      <w:r w:rsidR="00111B76">
        <w:t>2015</w:t>
      </w:r>
      <w:r w:rsidR="003C0F7F">
        <w:t xml:space="preserve">. </w:t>
      </w:r>
      <w:r w:rsidR="00B1104E">
        <w:t>A</w:t>
      </w:r>
      <w:r w:rsidR="00961B24">
        <w:t>n</w:t>
      </w:r>
      <w:r w:rsidR="0035561F">
        <w:t xml:space="preserve"> </w:t>
      </w:r>
      <w:r w:rsidR="00111B76">
        <w:t>in</w:t>
      </w:r>
      <w:r w:rsidR="00DF58E1">
        <w:t>crease</w:t>
      </w:r>
      <w:r w:rsidR="003C0F7F">
        <w:t xml:space="preserve"> </w:t>
      </w:r>
      <w:r w:rsidR="00030C3B">
        <w:t xml:space="preserve">of </w:t>
      </w:r>
      <w:r w:rsidR="00111B76">
        <w:rPr>
          <w:b/>
        </w:rPr>
        <w:t>5</w:t>
      </w:r>
      <w:r w:rsidR="003B4E0C" w:rsidRPr="001555DF">
        <w:rPr>
          <w:b/>
        </w:rPr>
        <w:t>%</w:t>
      </w:r>
      <w:r w:rsidR="003B4E0C">
        <w:t xml:space="preserve"> </w:t>
      </w:r>
      <w:r w:rsidR="003C0F7F">
        <w:t>was</w:t>
      </w:r>
      <w:r w:rsidR="00111B76">
        <w:t xml:space="preserve"> also</w:t>
      </w:r>
      <w:r w:rsidR="003C0F7F">
        <w:t xml:space="preserve"> noted when </w:t>
      </w:r>
      <w:r w:rsidR="003B4E0C">
        <w:t xml:space="preserve">compared to the </w:t>
      </w:r>
      <w:r w:rsidR="003C0F7F">
        <w:t xml:space="preserve">previous </w:t>
      </w:r>
      <w:r w:rsidR="003B4E0C">
        <w:t xml:space="preserve">five year average. </w:t>
      </w:r>
    </w:p>
    <w:p w:rsidR="003C0F7F" w:rsidRDefault="003C0F7F" w:rsidP="003B4E0C">
      <w:pPr>
        <w:tabs>
          <w:tab w:val="left" w:pos="720"/>
        </w:tabs>
      </w:pPr>
    </w:p>
    <w:tbl>
      <w:tblPr>
        <w:tblW w:w="9470" w:type="dxa"/>
        <w:tblInd w:w="93" w:type="dxa"/>
        <w:tblLook w:val="04A0" w:firstRow="1" w:lastRow="0" w:firstColumn="1" w:lastColumn="0" w:noHBand="0" w:noVBand="1"/>
      </w:tblPr>
      <w:tblGrid>
        <w:gridCol w:w="2118"/>
        <w:gridCol w:w="1676"/>
        <w:gridCol w:w="946"/>
        <w:gridCol w:w="946"/>
        <w:gridCol w:w="946"/>
        <w:gridCol w:w="946"/>
        <w:gridCol w:w="946"/>
        <w:gridCol w:w="946"/>
      </w:tblGrid>
      <w:tr w:rsidR="008F079A" w:rsidTr="002C10FE">
        <w:trPr>
          <w:trHeight w:val="261"/>
        </w:trPr>
        <w:tc>
          <w:tcPr>
            <w:tcW w:w="9467"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8F079A" w:rsidRDefault="008F079A" w:rsidP="002C10FE">
            <w:pPr>
              <w:jc w:val="center"/>
              <w:rPr>
                <w:rFonts w:ascii="Arial" w:hAnsi="Arial" w:cs="Arial"/>
                <w:b/>
                <w:bCs/>
              </w:rPr>
            </w:pPr>
            <w:r>
              <w:rPr>
                <w:rFonts w:ascii="Arial" w:hAnsi="Arial" w:cs="Arial"/>
                <w:b/>
                <w:bCs/>
              </w:rPr>
              <w:t>Property Crimes</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5Yr Avg.</w:t>
            </w:r>
          </w:p>
        </w:tc>
        <w:tc>
          <w:tcPr>
            <w:tcW w:w="946" w:type="dxa"/>
            <w:tcBorders>
              <w:top w:val="nil"/>
              <w:left w:val="nil"/>
              <w:bottom w:val="nil"/>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2012</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2016</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January</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292</w:t>
            </w:r>
          </w:p>
        </w:tc>
        <w:tc>
          <w:tcPr>
            <w:tcW w:w="946" w:type="dxa"/>
            <w:tcBorders>
              <w:top w:val="single" w:sz="4" w:space="0" w:color="auto"/>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237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314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261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345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250</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February</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225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211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214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222</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243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236</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230</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March</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265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201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267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290</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April</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301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285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388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272</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286</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279</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May</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325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321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383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328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283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311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324</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June</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304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289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339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334</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July</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348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377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337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368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328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330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370</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August</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344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428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330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325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314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324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361</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September</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308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351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265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323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336</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267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388</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October</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340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350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269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347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354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379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336</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November</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296</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295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286</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288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358</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December</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311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297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306</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336</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306</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335</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Total</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3660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3692</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3726</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3588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3638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3654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3855</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 of ∆</w:t>
            </w:r>
          </w:p>
        </w:tc>
        <w:tc>
          <w:tcPr>
            <w:tcW w:w="1676" w:type="dxa"/>
            <w:tcBorders>
              <w:top w:val="nil"/>
              <w:left w:val="nil"/>
              <w:bottom w:val="single" w:sz="4" w:space="0" w:color="auto"/>
              <w:right w:val="single" w:sz="4" w:space="0" w:color="auto"/>
            </w:tcBorders>
            <w:shd w:val="clear" w:color="000000" w:fill="000000"/>
            <w:noWrap/>
            <w:vAlign w:val="center"/>
            <w:hideMark/>
          </w:tcPr>
          <w:p w:rsidR="008F079A" w:rsidRDefault="008F079A" w:rsidP="002C10FE">
            <w:pPr>
              <w:jc w:val="center"/>
              <w:rPr>
                <w:rFonts w:ascii="Arial" w:hAnsi="Arial" w:cs="Arial"/>
                <w:sz w:val="20"/>
                <w:szCs w:val="20"/>
              </w:rPr>
            </w:pPr>
          </w:p>
        </w:tc>
        <w:tc>
          <w:tcPr>
            <w:tcW w:w="946" w:type="dxa"/>
            <w:tcBorders>
              <w:top w:val="nil"/>
              <w:left w:val="nil"/>
              <w:bottom w:val="single" w:sz="4" w:space="0" w:color="auto"/>
              <w:right w:val="single" w:sz="4" w:space="0" w:color="auto"/>
            </w:tcBorders>
            <w:shd w:val="clear" w:color="000000" w:fill="000000"/>
            <w:noWrap/>
            <w:vAlign w:val="center"/>
            <w:hideMark/>
          </w:tcPr>
          <w:p w:rsidR="008F079A" w:rsidRDefault="008F079A" w:rsidP="002C10FE">
            <w:pPr>
              <w:jc w:val="center"/>
              <w:rPr>
                <w:rFonts w:ascii="Arial" w:hAnsi="Arial" w:cs="Arial"/>
                <w:b/>
                <w:bCs/>
                <w:sz w:val="20"/>
                <w:szCs w:val="20"/>
              </w:rPr>
            </w:pP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w:t>
            </w:r>
          </w:p>
        </w:tc>
      </w:tr>
    </w:tbl>
    <w:p w:rsidR="003C0F7F" w:rsidRDefault="003C0F7F" w:rsidP="0054534A">
      <w:pPr>
        <w:tabs>
          <w:tab w:val="left" w:pos="720"/>
        </w:tabs>
      </w:pPr>
    </w:p>
    <w:p w:rsidR="00A87614" w:rsidRDefault="00A87614" w:rsidP="003B4E0C">
      <w:pPr>
        <w:tabs>
          <w:tab w:val="left" w:pos="720"/>
        </w:tabs>
      </w:pPr>
    </w:p>
    <w:p w:rsidR="00B8059F" w:rsidRDefault="003B4E0C" w:rsidP="00AE3572">
      <w:pPr>
        <w:tabs>
          <w:tab w:val="left" w:pos="720"/>
        </w:tabs>
        <w:outlineLvl w:val="0"/>
      </w:pPr>
      <w:r>
        <w:tab/>
        <w:t>Th</w:t>
      </w:r>
      <w:r w:rsidR="00D45A30">
        <w:t xml:space="preserve">e </w:t>
      </w:r>
      <w:r w:rsidR="0043255D">
        <w:t>trend line shows an upward trend</w:t>
      </w:r>
      <w:r w:rsidR="006D4C53">
        <w:t xml:space="preserve"> of property crimes on the 24 month comparison</w:t>
      </w:r>
      <w:r>
        <w:t xml:space="preserve">. </w:t>
      </w:r>
    </w:p>
    <w:p w:rsidR="000E1EAF" w:rsidRDefault="000E1EAF" w:rsidP="00AE3572">
      <w:pPr>
        <w:tabs>
          <w:tab w:val="left" w:pos="720"/>
        </w:tabs>
        <w:outlineLvl w:val="0"/>
      </w:pPr>
    </w:p>
    <w:p w:rsidR="000E1EAF" w:rsidRDefault="000E1EAF" w:rsidP="00AE3572">
      <w:pPr>
        <w:tabs>
          <w:tab w:val="left" w:pos="720"/>
        </w:tabs>
        <w:outlineLvl w:val="0"/>
      </w:pPr>
    </w:p>
    <w:p w:rsidR="00111B76" w:rsidRDefault="008F079A" w:rsidP="00111B76">
      <w:pPr>
        <w:tabs>
          <w:tab w:val="left" w:pos="720"/>
        </w:tabs>
      </w:pPr>
      <w:r>
        <w:rPr>
          <w:noProof/>
        </w:rPr>
        <w:drawing>
          <wp:inline distT="0" distB="0" distL="0" distR="0" wp14:anchorId="658FABA8" wp14:editId="53B94231">
            <wp:extent cx="5943600" cy="3496235"/>
            <wp:effectExtent l="0" t="0" r="19050" b="9525"/>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14F60" w:rsidRPr="00111B76" w:rsidRDefault="003B4E0C" w:rsidP="00111B76">
      <w:pPr>
        <w:tabs>
          <w:tab w:val="left" w:pos="720"/>
        </w:tabs>
      </w:pPr>
      <w:r w:rsidRPr="0090040F">
        <w:rPr>
          <w:b/>
          <w:i/>
          <w:sz w:val="28"/>
          <w:szCs w:val="28"/>
          <w:u w:val="single"/>
        </w:rPr>
        <w:lastRenderedPageBreak/>
        <w:t>Burglary</w:t>
      </w:r>
      <w:r w:rsidR="004455DC">
        <w:rPr>
          <w:b/>
          <w:i/>
          <w:sz w:val="28"/>
          <w:szCs w:val="28"/>
          <w:u w:val="single"/>
        </w:rPr>
        <w:t>:</w:t>
      </w:r>
    </w:p>
    <w:p w:rsidR="0090040F" w:rsidRDefault="003B4E0C" w:rsidP="003B4E0C">
      <w:pPr>
        <w:tabs>
          <w:tab w:val="left" w:pos="720"/>
        </w:tabs>
        <w:rPr>
          <w:b/>
        </w:rPr>
      </w:pPr>
      <w:r>
        <w:rPr>
          <w:b/>
        </w:rPr>
        <w:tab/>
      </w:r>
    </w:p>
    <w:p w:rsidR="003C0F7F" w:rsidRDefault="00134752" w:rsidP="002C10FE">
      <w:pPr>
        <w:tabs>
          <w:tab w:val="left" w:pos="720"/>
        </w:tabs>
        <w:jc w:val="both"/>
      </w:pPr>
      <w:r>
        <w:tab/>
      </w:r>
      <w:r w:rsidR="00547E3F">
        <w:t xml:space="preserve">During </w:t>
      </w:r>
      <w:r w:rsidR="00961B24">
        <w:t>2016</w:t>
      </w:r>
      <w:r w:rsidR="004455DC">
        <w:t xml:space="preserve"> </w:t>
      </w:r>
      <w:r w:rsidR="00F07E69">
        <w:t>B</w:t>
      </w:r>
      <w:r w:rsidR="003B4E0C">
        <w:t xml:space="preserve">urglaries </w:t>
      </w:r>
      <w:r w:rsidR="00961B24">
        <w:t>in</w:t>
      </w:r>
      <w:r w:rsidR="00F238DC">
        <w:t xml:space="preserve">creased </w:t>
      </w:r>
      <w:r w:rsidR="00961B24">
        <w:rPr>
          <w:b/>
        </w:rPr>
        <w:t>6</w:t>
      </w:r>
      <w:r w:rsidR="003B4E0C" w:rsidRPr="00F238DC">
        <w:rPr>
          <w:b/>
        </w:rPr>
        <w:t>%</w:t>
      </w:r>
      <w:r w:rsidR="003B4E0C">
        <w:t xml:space="preserve"> compared to </w:t>
      </w:r>
      <w:r w:rsidR="00961B24">
        <w:t>2015 but have</w:t>
      </w:r>
      <w:r w:rsidR="00547E3F">
        <w:t xml:space="preserve"> </w:t>
      </w:r>
      <w:r w:rsidR="003B4E0C">
        <w:t>d</w:t>
      </w:r>
      <w:r w:rsidR="004455DC">
        <w:t xml:space="preserve">ecreased </w:t>
      </w:r>
      <w:r w:rsidR="00961B24">
        <w:rPr>
          <w:b/>
        </w:rPr>
        <w:t>16</w:t>
      </w:r>
      <w:r w:rsidR="003B4E0C">
        <w:rPr>
          <w:b/>
        </w:rPr>
        <w:t>%</w:t>
      </w:r>
      <w:r w:rsidR="003B4E0C">
        <w:t xml:space="preserve"> </w:t>
      </w:r>
      <w:r w:rsidR="003C0F7F">
        <w:t xml:space="preserve">when </w:t>
      </w:r>
      <w:r w:rsidR="003B4E0C">
        <w:t xml:space="preserve">compared to the </w:t>
      </w:r>
      <w:r w:rsidR="003C0F7F">
        <w:t xml:space="preserve">previous </w:t>
      </w:r>
      <w:r w:rsidR="003B4E0C">
        <w:t xml:space="preserve">five year average. </w:t>
      </w:r>
    </w:p>
    <w:p w:rsidR="001C2D16" w:rsidRDefault="001C2D16" w:rsidP="00EB57FE">
      <w:pPr>
        <w:tabs>
          <w:tab w:val="left" w:pos="720"/>
        </w:tabs>
      </w:pPr>
    </w:p>
    <w:tbl>
      <w:tblPr>
        <w:tblW w:w="9514" w:type="dxa"/>
        <w:tblInd w:w="93" w:type="dxa"/>
        <w:tblLook w:val="04A0" w:firstRow="1" w:lastRow="0" w:firstColumn="1" w:lastColumn="0" w:noHBand="0" w:noVBand="1"/>
      </w:tblPr>
      <w:tblGrid>
        <w:gridCol w:w="2118"/>
        <w:gridCol w:w="1676"/>
        <w:gridCol w:w="946"/>
        <w:gridCol w:w="946"/>
        <w:gridCol w:w="990"/>
        <w:gridCol w:w="946"/>
        <w:gridCol w:w="946"/>
        <w:gridCol w:w="946"/>
      </w:tblGrid>
      <w:tr w:rsidR="008F079A" w:rsidTr="002C10FE">
        <w:trPr>
          <w:trHeight w:val="261"/>
        </w:trPr>
        <w:tc>
          <w:tcPr>
            <w:tcW w:w="9514"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8F079A" w:rsidRDefault="008F079A" w:rsidP="002C10FE">
            <w:pPr>
              <w:jc w:val="center"/>
              <w:rPr>
                <w:rFonts w:ascii="Arial" w:hAnsi="Arial" w:cs="Arial"/>
                <w:b/>
                <w:bCs/>
              </w:rPr>
            </w:pPr>
            <w:r>
              <w:rPr>
                <w:rFonts w:ascii="Arial" w:hAnsi="Arial" w:cs="Arial"/>
                <w:b/>
                <w:bCs/>
              </w:rPr>
              <w:t>Burglary</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rPr>
            </w:pP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5Yr Avg.</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2012</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2016</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January</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74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91</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36</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February</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45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79</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35</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March</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69</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38</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April</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93</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43</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May</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71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96</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72</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52</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June</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54</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54</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July</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115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70</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69</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August</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73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96</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70</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September</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101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59</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62</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63</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October</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78</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58</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November</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89</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60</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73</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December</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89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74</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75</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41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59</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Total</w:t>
            </w:r>
          </w:p>
        </w:tc>
        <w:tc>
          <w:tcPr>
            <w:tcW w:w="167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773</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994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948</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687</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622</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614</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650</w:t>
            </w:r>
          </w:p>
        </w:tc>
      </w:tr>
      <w:tr w:rsidR="008F079A" w:rsidTr="002C10FE">
        <w:trPr>
          <w:trHeight w:val="261"/>
        </w:trPr>
        <w:tc>
          <w:tcPr>
            <w:tcW w:w="2118"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 of ∆</w:t>
            </w:r>
          </w:p>
        </w:tc>
        <w:tc>
          <w:tcPr>
            <w:tcW w:w="1676" w:type="dxa"/>
            <w:tcBorders>
              <w:top w:val="nil"/>
              <w:left w:val="nil"/>
              <w:bottom w:val="single" w:sz="4" w:space="0" w:color="auto"/>
              <w:right w:val="single" w:sz="4" w:space="0" w:color="auto"/>
            </w:tcBorders>
            <w:shd w:val="clear" w:color="000000" w:fill="000000"/>
            <w:noWrap/>
            <w:vAlign w:val="center"/>
            <w:hideMark/>
          </w:tcPr>
          <w:p w:rsidR="008F079A" w:rsidRDefault="008F079A" w:rsidP="002C10FE">
            <w:pPr>
              <w:jc w:val="center"/>
              <w:rPr>
                <w:rFonts w:ascii="Arial" w:hAnsi="Arial" w:cs="Arial"/>
                <w:b/>
                <w:bCs/>
                <w:sz w:val="20"/>
                <w:szCs w:val="20"/>
              </w:rPr>
            </w:pPr>
          </w:p>
        </w:tc>
        <w:tc>
          <w:tcPr>
            <w:tcW w:w="946" w:type="dxa"/>
            <w:tcBorders>
              <w:top w:val="nil"/>
              <w:left w:val="nil"/>
              <w:bottom w:val="single" w:sz="4" w:space="0" w:color="auto"/>
              <w:right w:val="single" w:sz="4" w:space="0" w:color="auto"/>
            </w:tcBorders>
            <w:shd w:val="clear" w:color="000000" w:fill="000000"/>
            <w:noWrap/>
            <w:vAlign w:val="center"/>
            <w:hideMark/>
          </w:tcPr>
          <w:p w:rsidR="008F079A" w:rsidRDefault="008F079A" w:rsidP="002C10FE">
            <w:pPr>
              <w:jc w:val="center"/>
              <w:rPr>
                <w:rFonts w:ascii="Arial" w:hAnsi="Arial" w:cs="Arial"/>
                <w:b/>
                <w:bCs/>
                <w:sz w:val="20"/>
                <w:szCs w:val="20"/>
              </w:rPr>
            </w:pP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-5%</w:t>
            </w:r>
          </w:p>
        </w:tc>
        <w:tc>
          <w:tcPr>
            <w:tcW w:w="990"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-28%</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-9%</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w:t>
            </w:r>
          </w:p>
        </w:tc>
        <w:tc>
          <w:tcPr>
            <w:tcW w:w="946"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w:t>
            </w:r>
          </w:p>
        </w:tc>
      </w:tr>
    </w:tbl>
    <w:p w:rsidR="00A87614" w:rsidRDefault="00A87614" w:rsidP="00EB57FE">
      <w:pPr>
        <w:tabs>
          <w:tab w:val="left" w:pos="720"/>
        </w:tabs>
      </w:pPr>
    </w:p>
    <w:p w:rsidR="008E708F" w:rsidRDefault="008E708F" w:rsidP="000E1EAF">
      <w:pPr>
        <w:tabs>
          <w:tab w:val="left" w:pos="720"/>
        </w:tabs>
      </w:pPr>
    </w:p>
    <w:p w:rsidR="008E708F" w:rsidRDefault="008E708F" w:rsidP="0054534A">
      <w:pPr>
        <w:tabs>
          <w:tab w:val="left" w:pos="720"/>
        </w:tabs>
      </w:pPr>
    </w:p>
    <w:p w:rsidR="004B5552" w:rsidRDefault="004B5552" w:rsidP="001715EC">
      <w:pPr>
        <w:tabs>
          <w:tab w:val="left" w:pos="90"/>
          <w:tab w:val="left" w:pos="720"/>
        </w:tabs>
        <w:ind w:hanging="270"/>
        <w:jc w:val="center"/>
      </w:pPr>
    </w:p>
    <w:p w:rsidR="0054534A" w:rsidRDefault="008F079A" w:rsidP="00AE3572">
      <w:pPr>
        <w:tabs>
          <w:tab w:val="left" w:pos="1350"/>
        </w:tabs>
        <w:outlineLvl w:val="0"/>
        <w:rPr>
          <w:b/>
          <w:i/>
          <w:sz w:val="28"/>
          <w:szCs w:val="28"/>
          <w:u w:val="single"/>
        </w:rPr>
      </w:pPr>
      <w:r>
        <w:rPr>
          <w:noProof/>
        </w:rPr>
        <w:drawing>
          <wp:inline distT="0" distB="0" distL="0" distR="0" wp14:anchorId="106B4437" wp14:editId="7C1E4D57">
            <wp:extent cx="5943600" cy="3514725"/>
            <wp:effectExtent l="0" t="0" r="19050" b="952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F5B13" w:rsidRDefault="003F5B13" w:rsidP="00AE3572">
      <w:pPr>
        <w:tabs>
          <w:tab w:val="left" w:pos="1350"/>
        </w:tabs>
        <w:outlineLvl w:val="0"/>
        <w:rPr>
          <w:b/>
          <w:i/>
          <w:sz w:val="28"/>
          <w:szCs w:val="28"/>
          <w:u w:val="single"/>
        </w:rPr>
      </w:pPr>
    </w:p>
    <w:p w:rsidR="0065706F" w:rsidRDefault="00F103B5" w:rsidP="00AE3572">
      <w:pPr>
        <w:tabs>
          <w:tab w:val="left" w:pos="1350"/>
        </w:tabs>
        <w:outlineLvl w:val="0"/>
        <w:rPr>
          <w:b/>
          <w:i/>
          <w:sz w:val="28"/>
          <w:szCs w:val="28"/>
          <w:u w:val="single"/>
        </w:rPr>
      </w:pPr>
      <w:r w:rsidRPr="0090040F">
        <w:rPr>
          <w:b/>
          <w:i/>
          <w:sz w:val="28"/>
          <w:szCs w:val="28"/>
          <w:u w:val="single"/>
        </w:rPr>
        <w:lastRenderedPageBreak/>
        <w:t>Larceny</w:t>
      </w:r>
      <w:r w:rsidR="00863F1A">
        <w:rPr>
          <w:b/>
          <w:i/>
          <w:sz w:val="28"/>
          <w:szCs w:val="28"/>
          <w:u w:val="single"/>
        </w:rPr>
        <w:t>:</w:t>
      </w:r>
    </w:p>
    <w:p w:rsidR="0090040F" w:rsidRPr="0090040F" w:rsidRDefault="0090040F" w:rsidP="00134752">
      <w:pPr>
        <w:tabs>
          <w:tab w:val="left" w:pos="1350"/>
        </w:tabs>
        <w:jc w:val="both"/>
        <w:rPr>
          <w:b/>
          <w:i/>
          <w:sz w:val="28"/>
          <w:szCs w:val="28"/>
          <w:u w:val="single"/>
        </w:rPr>
      </w:pPr>
    </w:p>
    <w:p w:rsidR="00F103B5" w:rsidRDefault="00F103B5" w:rsidP="00134752">
      <w:pPr>
        <w:tabs>
          <w:tab w:val="left" w:pos="720"/>
        </w:tabs>
        <w:jc w:val="both"/>
      </w:pPr>
      <w:r>
        <w:rPr>
          <w:b/>
        </w:rPr>
        <w:tab/>
      </w:r>
      <w:r w:rsidR="0035561F">
        <w:t xml:space="preserve">For </w:t>
      </w:r>
      <w:r w:rsidR="007517C6">
        <w:t>20</w:t>
      </w:r>
      <w:r w:rsidR="00111377">
        <w:t>15</w:t>
      </w:r>
      <w:r w:rsidR="001D0E68">
        <w:t>,</w:t>
      </w:r>
      <w:r w:rsidR="0035561F">
        <w:t xml:space="preserve"> Larcenies</w:t>
      </w:r>
      <w:r w:rsidR="00095E8D">
        <w:t xml:space="preserve"> </w:t>
      </w:r>
      <w:r w:rsidR="00961B24">
        <w:t>showed an</w:t>
      </w:r>
      <w:r w:rsidR="00111377" w:rsidRPr="00111377">
        <w:rPr>
          <w:b/>
        </w:rPr>
        <w:t xml:space="preserve"> </w:t>
      </w:r>
      <w:r w:rsidR="00111377">
        <w:t xml:space="preserve">increase </w:t>
      </w:r>
      <w:r w:rsidR="00961B24">
        <w:t xml:space="preserve">of </w:t>
      </w:r>
      <w:r w:rsidR="00961B24" w:rsidRPr="00961B24">
        <w:rPr>
          <w:b/>
        </w:rPr>
        <w:t>5%</w:t>
      </w:r>
      <w:r w:rsidR="00961B24">
        <w:t xml:space="preserve"> when compared to 2015 and</w:t>
      </w:r>
      <w:r w:rsidR="00111377">
        <w:t xml:space="preserve"> a </w:t>
      </w:r>
      <w:r w:rsidR="00961B24">
        <w:rPr>
          <w:b/>
        </w:rPr>
        <w:t>10</w:t>
      </w:r>
      <w:r w:rsidR="009C6EEE" w:rsidRPr="00CB68DF">
        <w:rPr>
          <w:b/>
        </w:rPr>
        <w:t>%</w:t>
      </w:r>
      <w:r w:rsidR="009C6EEE">
        <w:rPr>
          <w:b/>
        </w:rPr>
        <w:t xml:space="preserve"> </w:t>
      </w:r>
      <w:r w:rsidR="00111377" w:rsidRPr="00111377">
        <w:t>increase when</w:t>
      </w:r>
      <w:r w:rsidR="00111377">
        <w:rPr>
          <w:b/>
        </w:rPr>
        <w:t xml:space="preserve"> </w:t>
      </w:r>
      <w:r w:rsidR="009C6EEE">
        <w:t xml:space="preserve">compared to the </w:t>
      </w:r>
      <w:r w:rsidR="007517C6">
        <w:t xml:space="preserve">previous </w:t>
      </w:r>
      <w:r w:rsidR="009C6EEE">
        <w:t>five year average.</w:t>
      </w:r>
    </w:p>
    <w:p w:rsidR="008E708F" w:rsidRDefault="008E708F" w:rsidP="00134752">
      <w:pPr>
        <w:tabs>
          <w:tab w:val="left" w:pos="720"/>
        </w:tabs>
        <w:jc w:val="both"/>
      </w:pPr>
    </w:p>
    <w:tbl>
      <w:tblPr>
        <w:tblW w:w="9392" w:type="dxa"/>
        <w:tblInd w:w="93" w:type="dxa"/>
        <w:tblLook w:val="04A0" w:firstRow="1" w:lastRow="0" w:firstColumn="1" w:lastColumn="0" w:noHBand="0" w:noVBand="1"/>
      </w:tblPr>
      <w:tblGrid>
        <w:gridCol w:w="2101"/>
        <w:gridCol w:w="1662"/>
        <w:gridCol w:w="938"/>
        <w:gridCol w:w="938"/>
        <w:gridCol w:w="938"/>
        <w:gridCol w:w="938"/>
        <w:gridCol w:w="938"/>
        <w:gridCol w:w="939"/>
      </w:tblGrid>
      <w:tr w:rsidR="008F079A" w:rsidTr="003F5B13">
        <w:trPr>
          <w:trHeight w:val="261"/>
        </w:trPr>
        <w:tc>
          <w:tcPr>
            <w:tcW w:w="9392"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8F079A" w:rsidRDefault="008F079A" w:rsidP="002C10FE">
            <w:pPr>
              <w:jc w:val="center"/>
              <w:rPr>
                <w:rFonts w:ascii="Arial" w:hAnsi="Arial" w:cs="Arial"/>
                <w:b/>
                <w:bCs/>
              </w:rPr>
            </w:pPr>
            <w:r>
              <w:rPr>
                <w:rFonts w:ascii="Arial" w:hAnsi="Arial" w:cs="Arial"/>
                <w:b/>
                <w:bCs/>
              </w:rPr>
              <w:t>Larceny</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rPr>
            </w:pP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5Yr Avg.</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2016</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January</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205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155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208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220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205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236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206</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February</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169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169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121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169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184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203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189</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March</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195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177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223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137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204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235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241</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April</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226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186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283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203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225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231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221</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May</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244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223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245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233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249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252</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June</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224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185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237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228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261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209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260</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July</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270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265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284</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August</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257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315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223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249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241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271</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September</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235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237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194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216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309</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October</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260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178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292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298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261</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November</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219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198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209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229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245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273</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December</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233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199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218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245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249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sz w:val="20"/>
                <w:szCs w:val="20"/>
              </w:rPr>
            </w:pPr>
            <w:r>
              <w:rPr>
                <w:rFonts w:ascii="Arial" w:hAnsi="Arial" w:cs="Arial"/>
                <w:sz w:val="20"/>
                <w:szCs w:val="20"/>
              </w:rPr>
              <w:t>256</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Total</w:t>
            </w:r>
          </w:p>
        </w:tc>
        <w:tc>
          <w:tcPr>
            <w:tcW w:w="1662"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2736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2547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2617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2774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2873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2870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3023</w:t>
            </w:r>
          </w:p>
        </w:tc>
      </w:tr>
      <w:tr w:rsidR="008F079A" w:rsidTr="003F5B13">
        <w:trPr>
          <w:trHeight w:val="261"/>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 of ∆</w:t>
            </w:r>
          </w:p>
        </w:tc>
        <w:tc>
          <w:tcPr>
            <w:tcW w:w="1662" w:type="dxa"/>
            <w:tcBorders>
              <w:top w:val="nil"/>
              <w:left w:val="nil"/>
              <w:bottom w:val="single" w:sz="4" w:space="0" w:color="auto"/>
              <w:right w:val="single" w:sz="4" w:space="0" w:color="auto"/>
            </w:tcBorders>
            <w:shd w:val="clear" w:color="000000" w:fill="000000"/>
            <w:noWrap/>
            <w:vAlign w:val="center"/>
            <w:hideMark/>
          </w:tcPr>
          <w:p w:rsidR="008F079A" w:rsidRDefault="008F079A" w:rsidP="002C10FE">
            <w:pPr>
              <w:jc w:val="center"/>
              <w:rPr>
                <w:rFonts w:ascii="Arial" w:hAnsi="Arial" w:cs="Arial"/>
                <w:b/>
                <w:bCs/>
                <w:sz w:val="20"/>
                <w:szCs w:val="20"/>
              </w:rPr>
            </w:pPr>
          </w:p>
        </w:tc>
        <w:tc>
          <w:tcPr>
            <w:tcW w:w="938" w:type="dxa"/>
            <w:tcBorders>
              <w:top w:val="nil"/>
              <w:left w:val="nil"/>
              <w:bottom w:val="single" w:sz="4" w:space="0" w:color="auto"/>
              <w:right w:val="single" w:sz="4" w:space="0" w:color="auto"/>
            </w:tcBorders>
            <w:shd w:val="clear" w:color="000000" w:fill="000000"/>
            <w:noWrap/>
            <w:vAlign w:val="center"/>
            <w:hideMark/>
          </w:tcPr>
          <w:p w:rsidR="008F079A" w:rsidRDefault="008F079A" w:rsidP="002C10FE">
            <w:pPr>
              <w:jc w:val="center"/>
              <w:rPr>
                <w:rFonts w:ascii="Arial" w:hAnsi="Arial" w:cs="Arial"/>
                <w:b/>
                <w:bCs/>
                <w:sz w:val="20"/>
                <w:szCs w:val="20"/>
              </w:rPr>
            </w:pP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2C10FE">
            <w:pPr>
              <w:jc w:val="center"/>
              <w:rPr>
                <w:rFonts w:ascii="Arial" w:hAnsi="Arial" w:cs="Arial"/>
                <w:b/>
                <w:bCs/>
                <w:sz w:val="20"/>
                <w:szCs w:val="20"/>
              </w:rPr>
            </w:pPr>
            <w:r>
              <w:rPr>
                <w:rFonts w:ascii="Arial" w:hAnsi="Arial" w:cs="Arial"/>
                <w:b/>
                <w:bCs/>
                <w:sz w:val="20"/>
                <w:szCs w:val="20"/>
              </w:rPr>
              <w:t>5%</w:t>
            </w:r>
          </w:p>
        </w:tc>
      </w:tr>
    </w:tbl>
    <w:p w:rsidR="000E1EAF" w:rsidRDefault="000E1EAF" w:rsidP="00F103B5">
      <w:pPr>
        <w:tabs>
          <w:tab w:val="left" w:pos="720"/>
        </w:tabs>
      </w:pPr>
    </w:p>
    <w:p w:rsidR="003F5B13" w:rsidRDefault="003F5B13" w:rsidP="00F103B5">
      <w:pPr>
        <w:tabs>
          <w:tab w:val="left" w:pos="720"/>
        </w:tabs>
      </w:pPr>
    </w:p>
    <w:p w:rsidR="003F5B13" w:rsidRDefault="003F5B13" w:rsidP="00F103B5">
      <w:pPr>
        <w:tabs>
          <w:tab w:val="left" w:pos="720"/>
        </w:tabs>
      </w:pPr>
    </w:p>
    <w:p w:rsidR="003F5B13" w:rsidRDefault="003F5B13" w:rsidP="00F103B5">
      <w:pPr>
        <w:tabs>
          <w:tab w:val="left" w:pos="720"/>
        </w:tabs>
      </w:pPr>
    </w:p>
    <w:p w:rsidR="000E1EAF" w:rsidRDefault="008F079A" w:rsidP="00F103B5">
      <w:pPr>
        <w:tabs>
          <w:tab w:val="left" w:pos="720"/>
        </w:tabs>
      </w:pPr>
      <w:r>
        <w:rPr>
          <w:noProof/>
        </w:rPr>
        <w:drawing>
          <wp:inline distT="0" distB="0" distL="0" distR="0" wp14:anchorId="3A47F033" wp14:editId="0BA31C12">
            <wp:extent cx="5943600" cy="3543300"/>
            <wp:effectExtent l="0" t="0" r="19050" b="1905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F5B13" w:rsidRDefault="003F5B13" w:rsidP="00AE3572">
      <w:pPr>
        <w:tabs>
          <w:tab w:val="left" w:pos="0"/>
        </w:tabs>
        <w:outlineLvl w:val="0"/>
      </w:pPr>
    </w:p>
    <w:p w:rsidR="0065706F" w:rsidRPr="0090040F" w:rsidRDefault="009C6EEE" w:rsidP="00AE3572">
      <w:pPr>
        <w:tabs>
          <w:tab w:val="left" w:pos="0"/>
        </w:tabs>
        <w:outlineLvl w:val="0"/>
        <w:rPr>
          <w:b/>
          <w:i/>
          <w:sz w:val="28"/>
          <w:szCs w:val="28"/>
          <w:u w:val="single"/>
        </w:rPr>
      </w:pPr>
      <w:r w:rsidRPr="0090040F">
        <w:rPr>
          <w:b/>
          <w:i/>
          <w:sz w:val="28"/>
          <w:szCs w:val="28"/>
          <w:u w:val="single"/>
        </w:rPr>
        <w:lastRenderedPageBreak/>
        <w:t>Auto Theft</w:t>
      </w:r>
      <w:r w:rsidR="00904328">
        <w:rPr>
          <w:b/>
          <w:i/>
          <w:sz w:val="28"/>
          <w:szCs w:val="28"/>
          <w:u w:val="single"/>
        </w:rPr>
        <w:t>:</w:t>
      </w:r>
    </w:p>
    <w:p w:rsidR="0090040F" w:rsidRDefault="009C6EEE" w:rsidP="009C6EEE">
      <w:pPr>
        <w:tabs>
          <w:tab w:val="left" w:pos="0"/>
        </w:tabs>
      </w:pPr>
      <w:r>
        <w:tab/>
      </w:r>
    </w:p>
    <w:p w:rsidR="009C6EEE" w:rsidRDefault="00134752" w:rsidP="00134752">
      <w:pPr>
        <w:tabs>
          <w:tab w:val="left" w:pos="0"/>
        </w:tabs>
        <w:jc w:val="both"/>
      </w:pPr>
      <w:r>
        <w:tab/>
      </w:r>
      <w:r w:rsidR="0069080B">
        <w:t xml:space="preserve">Auto thefts </w:t>
      </w:r>
      <w:r w:rsidR="006C6C5E">
        <w:t>showed an in</w:t>
      </w:r>
      <w:r w:rsidR="009B7544">
        <w:t>crease of</w:t>
      </w:r>
      <w:r w:rsidR="0069080B">
        <w:t xml:space="preserve"> </w:t>
      </w:r>
      <w:r w:rsidR="00961B24">
        <w:rPr>
          <w:b/>
        </w:rPr>
        <w:t>7</w:t>
      </w:r>
      <w:r w:rsidR="00904328" w:rsidRPr="00904328">
        <w:rPr>
          <w:b/>
        </w:rPr>
        <w:t>%</w:t>
      </w:r>
      <w:r w:rsidR="00904328">
        <w:t xml:space="preserve"> </w:t>
      </w:r>
      <w:r w:rsidR="009B7544">
        <w:t xml:space="preserve">from </w:t>
      </w:r>
      <w:r w:rsidR="00863F1A">
        <w:t>20</w:t>
      </w:r>
      <w:r w:rsidR="001555DF">
        <w:t>1</w:t>
      </w:r>
      <w:r w:rsidR="00961B24">
        <w:t>5</w:t>
      </w:r>
      <w:r w:rsidR="009B7544">
        <w:t xml:space="preserve"> </w:t>
      </w:r>
      <w:r w:rsidR="00961B24">
        <w:t>along with</w:t>
      </w:r>
      <w:r w:rsidR="00B1104E">
        <w:t xml:space="preserve"> a</w:t>
      </w:r>
      <w:r w:rsidR="0065741F">
        <w:t>n in</w:t>
      </w:r>
      <w:r w:rsidR="00B1104E">
        <w:t>crease of</w:t>
      </w:r>
      <w:r w:rsidR="00642664">
        <w:t xml:space="preserve"> </w:t>
      </w:r>
      <w:r w:rsidR="00961B24">
        <w:rPr>
          <w:b/>
        </w:rPr>
        <w:t>12</w:t>
      </w:r>
      <w:r w:rsidR="00CB68DF" w:rsidRPr="00CB68DF">
        <w:rPr>
          <w:b/>
        </w:rPr>
        <w:t>%</w:t>
      </w:r>
      <w:r w:rsidR="0069080B">
        <w:t xml:space="preserve"> </w:t>
      </w:r>
      <w:r w:rsidR="00863F1A">
        <w:t xml:space="preserve">when compared to the </w:t>
      </w:r>
      <w:r w:rsidR="003C7237">
        <w:t xml:space="preserve">previous </w:t>
      </w:r>
      <w:r w:rsidR="0069080B">
        <w:t>five year average.</w:t>
      </w:r>
    </w:p>
    <w:p w:rsidR="00095E8D" w:rsidRDefault="00095E8D" w:rsidP="009C6EEE">
      <w:pPr>
        <w:tabs>
          <w:tab w:val="left" w:pos="0"/>
        </w:tabs>
      </w:pPr>
    </w:p>
    <w:tbl>
      <w:tblPr>
        <w:tblW w:w="9422" w:type="dxa"/>
        <w:tblInd w:w="93" w:type="dxa"/>
        <w:tblLook w:val="04A0" w:firstRow="1" w:lastRow="0" w:firstColumn="1" w:lastColumn="0" w:noHBand="0" w:noVBand="1"/>
      </w:tblPr>
      <w:tblGrid>
        <w:gridCol w:w="2097"/>
        <w:gridCol w:w="1660"/>
        <w:gridCol w:w="937"/>
        <w:gridCol w:w="937"/>
        <w:gridCol w:w="980"/>
        <w:gridCol w:w="937"/>
        <w:gridCol w:w="937"/>
        <w:gridCol w:w="937"/>
      </w:tblGrid>
      <w:tr w:rsidR="008F079A" w:rsidTr="003F5B13">
        <w:trPr>
          <w:trHeight w:val="313"/>
        </w:trPr>
        <w:tc>
          <w:tcPr>
            <w:tcW w:w="9422" w:type="dxa"/>
            <w:gridSpan w:val="8"/>
            <w:tcBorders>
              <w:top w:val="single" w:sz="4" w:space="0" w:color="auto"/>
              <w:left w:val="single" w:sz="4" w:space="0" w:color="auto"/>
              <w:bottom w:val="single" w:sz="4" w:space="0" w:color="auto"/>
              <w:right w:val="single" w:sz="4" w:space="0" w:color="000000"/>
            </w:tcBorders>
            <w:shd w:val="clear" w:color="000000" w:fill="C4BD97"/>
            <w:noWrap/>
            <w:vAlign w:val="bottom"/>
            <w:hideMark/>
          </w:tcPr>
          <w:p w:rsidR="008F079A" w:rsidRDefault="008F079A">
            <w:pPr>
              <w:jc w:val="center"/>
              <w:rPr>
                <w:rFonts w:ascii="Arial" w:hAnsi="Arial" w:cs="Arial"/>
                <w:b/>
                <w:bCs/>
              </w:rPr>
            </w:pPr>
            <w:r>
              <w:rPr>
                <w:rFonts w:ascii="Arial" w:hAnsi="Arial" w:cs="Arial"/>
                <w:b/>
                <w:bCs/>
              </w:rPr>
              <w:t>Auto Theft</w:t>
            </w:r>
          </w:p>
        </w:tc>
      </w:tr>
      <w:tr w:rsidR="008F079A" w:rsidTr="003F5B13">
        <w:trPr>
          <w:trHeight w:val="31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rPr>
            </w:pPr>
            <w:r>
              <w:rPr>
                <w:rFonts w:ascii="Arial" w:hAnsi="Arial" w:cs="Arial"/>
                <w:b/>
                <w:bCs/>
              </w:rPr>
              <w:t> </w:t>
            </w:r>
          </w:p>
        </w:tc>
        <w:tc>
          <w:tcPr>
            <w:tcW w:w="166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5Yr Avg.</w:t>
            </w:r>
          </w:p>
        </w:tc>
        <w:tc>
          <w:tcPr>
            <w:tcW w:w="937" w:type="dxa"/>
            <w:tcBorders>
              <w:top w:val="nil"/>
              <w:left w:val="nil"/>
              <w:bottom w:val="nil"/>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2011</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2012</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2013</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2014</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2015</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2016</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January</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12</w:t>
            </w:r>
          </w:p>
        </w:tc>
        <w:tc>
          <w:tcPr>
            <w:tcW w:w="937" w:type="dxa"/>
            <w:tcBorders>
              <w:top w:val="single" w:sz="4" w:space="0" w:color="auto"/>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15</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11</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19</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8</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February</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11</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12</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5</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20</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6</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March</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9</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11</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5</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April</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12</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16</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12</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10</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7</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May</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10</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3</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June</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17</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16</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22</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July</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11</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12</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4</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14</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9</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August</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14</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16</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11</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16</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September</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12</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12</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11</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14</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October</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17</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13</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18</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26</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17</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November</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12</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12</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10</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7</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17</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15</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12</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December</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13</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16</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13</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sz w:val="20"/>
                <w:szCs w:val="20"/>
              </w:rPr>
            </w:pPr>
            <w:r>
              <w:rPr>
                <w:rFonts w:ascii="Arial" w:hAnsi="Arial" w:cs="Arial"/>
                <w:sz w:val="20"/>
                <w:szCs w:val="20"/>
              </w:rPr>
              <w:t>9</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16</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sz w:val="20"/>
                <w:szCs w:val="20"/>
              </w:rPr>
            </w:pPr>
            <w:r>
              <w:rPr>
                <w:rFonts w:ascii="Arial" w:hAnsi="Arial" w:cs="Arial"/>
                <w:sz w:val="20"/>
                <w:szCs w:val="20"/>
              </w:rPr>
              <w:t>20</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Total</w:t>
            </w:r>
          </w:p>
        </w:tc>
        <w:tc>
          <w:tcPr>
            <w:tcW w:w="166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150</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151</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161</w:t>
            </w:r>
          </w:p>
        </w:tc>
        <w:tc>
          <w:tcPr>
            <w:tcW w:w="980"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127</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143</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170</w:t>
            </w:r>
          </w:p>
        </w:tc>
        <w:tc>
          <w:tcPr>
            <w:tcW w:w="937" w:type="dxa"/>
            <w:tcBorders>
              <w:top w:val="nil"/>
              <w:left w:val="nil"/>
              <w:bottom w:val="single" w:sz="4" w:space="0" w:color="auto"/>
              <w:right w:val="single" w:sz="4" w:space="0" w:color="auto"/>
            </w:tcBorders>
            <w:shd w:val="clear" w:color="auto" w:fill="auto"/>
            <w:noWrap/>
            <w:vAlign w:val="center"/>
            <w:hideMark/>
          </w:tcPr>
          <w:p w:rsidR="008F079A" w:rsidRDefault="008F079A">
            <w:pPr>
              <w:jc w:val="center"/>
              <w:rPr>
                <w:rFonts w:ascii="Arial" w:hAnsi="Arial" w:cs="Arial"/>
                <w:b/>
                <w:bCs/>
                <w:sz w:val="20"/>
                <w:szCs w:val="20"/>
              </w:rPr>
            </w:pPr>
            <w:r>
              <w:rPr>
                <w:rFonts w:ascii="Arial" w:hAnsi="Arial" w:cs="Arial"/>
                <w:b/>
                <w:bCs/>
                <w:sz w:val="20"/>
                <w:szCs w:val="20"/>
              </w:rPr>
              <w:t>182</w:t>
            </w:r>
          </w:p>
        </w:tc>
      </w:tr>
      <w:tr w:rsidR="008F079A" w:rsidTr="003F5B13">
        <w:trPr>
          <w:trHeight w:val="253"/>
        </w:trPr>
        <w:tc>
          <w:tcPr>
            <w:tcW w:w="2097" w:type="dxa"/>
            <w:tcBorders>
              <w:top w:val="nil"/>
              <w:left w:val="single" w:sz="4" w:space="0" w:color="auto"/>
              <w:bottom w:val="single" w:sz="4" w:space="0" w:color="auto"/>
              <w:right w:val="single" w:sz="4" w:space="0" w:color="auto"/>
            </w:tcBorders>
            <w:shd w:val="clear" w:color="auto" w:fill="auto"/>
            <w:noWrap/>
            <w:vAlign w:val="bottom"/>
            <w:hideMark/>
          </w:tcPr>
          <w:p w:rsidR="008F079A" w:rsidRDefault="008F079A">
            <w:pPr>
              <w:rPr>
                <w:rFonts w:ascii="Arial" w:hAnsi="Arial" w:cs="Arial"/>
                <w:b/>
                <w:bCs/>
                <w:sz w:val="20"/>
                <w:szCs w:val="20"/>
              </w:rPr>
            </w:pPr>
            <w:r>
              <w:rPr>
                <w:rFonts w:ascii="Arial" w:hAnsi="Arial" w:cs="Arial"/>
                <w:b/>
                <w:bCs/>
                <w:sz w:val="20"/>
                <w:szCs w:val="20"/>
              </w:rPr>
              <w:t>% of ∆</w:t>
            </w:r>
          </w:p>
        </w:tc>
        <w:tc>
          <w:tcPr>
            <w:tcW w:w="1660"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37" w:type="dxa"/>
            <w:tcBorders>
              <w:top w:val="nil"/>
              <w:left w:val="nil"/>
              <w:bottom w:val="single" w:sz="4" w:space="0" w:color="auto"/>
              <w:right w:val="single" w:sz="4" w:space="0" w:color="auto"/>
            </w:tcBorders>
            <w:shd w:val="clear" w:color="000000" w:fill="000000"/>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 </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7%</w:t>
            </w:r>
          </w:p>
        </w:tc>
        <w:tc>
          <w:tcPr>
            <w:tcW w:w="980"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-21%</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13%</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19%</w:t>
            </w:r>
          </w:p>
        </w:tc>
        <w:tc>
          <w:tcPr>
            <w:tcW w:w="937" w:type="dxa"/>
            <w:tcBorders>
              <w:top w:val="nil"/>
              <w:left w:val="nil"/>
              <w:bottom w:val="single" w:sz="4" w:space="0" w:color="auto"/>
              <w:right w:val="single" w:sz="4" w:space="0" w:color="auto"/>
            </w:tcBorders>
            <w:shd w:val="clear" w:color="auto" w:fill="auto"/>
            <w:noWrap/>
            <w:vAlign w:val="bottom"/>
            <w:hideMark/>
          </w:tcPr>
          <w:p w:rsidR="008F079A" w:rsidRDefault="008F079A">
            <w:pPr>
              <w:jc w:val="center"/>
              <w:rPr>
                <w:rFonts w:ascii="Arial" w:hAnsi="Arial" w:cs="Arial"/>
                <w:b/>
                <w:bCs/>
                <w:sz w:val="20"/>
                <w:szCs w:val="20"/>
              </w:rPr>
            </w:pPr>
            <w:r>
              <w:rPr>
                <w:rFonts w:ascii="Arial" w:hAnsi="Arial" w:cs="Arial"/>
                <w:b/>
                <w:bCs/>
                <w:sz w:val="20"/>
                <w:szCs w:val="20"/>
              </w:rPr>
              <w:t>7%</w:t>
            </w:r>
          </w:p>
        </w:tc>
      </w:tr>
    </w:tbl>
    <w:p w:rsidR="00095E8D" w:rsidRDefault="00095E8D" w:rsidP="009C6EEE">
      <w:pPr>
        <w:tabs>
          <w:tab w:val="left" w:pos="0"/>
        </w:tabs>
      </w:pPr>
    </w:p>
    <w:p w:rsidR="003F5B13" w:rsidRDefault="003F5B13" w:rsidP="009C6EEE">
      <w:pPr>
        <w:tabs>
          <w:tab w:val="left" w:pos="0"/>
        </w:tabs>
      </w:pPr>
    </w:p>
    <w:p w:rsidR="000E1EAF" w:rsidRDefault="000E1EAF" w:rsidP="009C6EEE">
      <w:pPr>
        <w:tabs>
          <w:tab w:val="left" w:pos="0"/>
        </w:tabs>
      </w:pPr>
    </w:p>
    <w:p w:rsidR="004F03FC" w:rsidRDefault="003F5B13" w:rsidP="009C6EEE">
      <w:pPr>
        <w:tabs>
          <w:tab w:val="left" w:pos="0"/>
        </w:tabs>
      </w:pPr>
      <w:r>
        <w:rPr>
          <w:noProof/>
        </w:rPr>
        <w:drawing>
          <wp:inline distT="0" distB="0" distL="0" distR="0" wp14:anchorId="06CB8076" wp14:editId="480BF47A">
            <wp:extent cx="5943600" cy="3695700"/>
            <wp:effectExtent l="0" t="0" r="19050" b="1905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51E85" w:rsidRDefault="00C51E85" w:rsidP="00661BDB">
      <w:pPr>
        <w:outlineLvl w:val="0"/>
      </w:pPr>
    </w:p>
    <w:p w:rsidR="00661BDB" w:rsidRDefault="00661BDB" w:rsidP="00661BDB">
      <w:pPr>
        <w:outlineLvl w:val="0"/>
        <w:rPr>
          <w:b/>
          <w:i/>
          <w:sz w:val="28"/>
          <w:szCs w:val="28"/>
          <w:u w:val="single"/>
        </w:rPr>
      </w:pPr>
      <w:r>
        <w:rPr>
          <w:b/>
          <w:i/>
          <w:sz w:val="28"/>
          <w:szCs w:val="28"/>
          <w:u w:val="single"/>
        </w:rPr>
        <w:lastRenderedPageBreak/>
        <w:t>Gulfport Police Communications Center:</w:t>
      </w:r>
    </w:p>
    <w:p w:rsidR="00661BDB" w:rsidRDefault="00661BDB" w:rsidP="00661BDB">
      <w:pPr>
        <w:rPr>
          <w:sz w:val="32"/>
          <w:szCs w:val="32"/>
        </w:rPr>
      </w:pPr>
    </w:p>
    <w:p w:rsidR="00D2184A" w:rsidRDefault="00F571AC" w:rsidP="00661BDB">
      <w:pPr>
        <w:rPr>
          <w:sz w:val="32"/>
          <w:szCs w:val="32"/>
        </w:rPr>
      </w:pPr>
      <w:r>
        <w:rPr>
          <w:noProof/>
        </w:rPr>
        <w:drawing>
          <wp:inline distT="0" distB="0" distL="0" distR="0" wp14:anchorId="2F9F40CC" wp14:editId="01749518">
            <wp:extent cx="5943600" cy="2761129"/>
            <wp:effectExtent l="0" t="0" r="19050" b="2032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2184A" w:rsidRDefault="00D2184A" w:rsidP="00661BDB">
      <w:pPr>
        <w:rPr>
          <w:sz w:val="32"/>
          <w:szCs w:val="32"/>
        </w:rPr>
      </w:pPr>
    </w:p>
    <w:p w:rsidR="00C51E85" w:rsidRDefault="00C51E85" w:rsidP="00661BDB">
      <w:pPr>
        <w:rPr>
          <w:sz w:val="32"/>
          <w:szCs w:val="32"/>
        </w:rPr>
      </w:pPr>
    </w:p>
    <w:p w:rsidR="00D2184A" w:rsidRPr="00831A0C" w:rsidRDefault="00D2184A" w:rsidP="00D2184A">
      <w:pPr>
        <w:outlineLvl w:val="0"/>
        <w:rPr>
          <w:b/>
          <w:color w:val="000000" w:themeColor="text1"/>
        </w:rPr>
      </w:pPr>
      <w:r w:rsidRPr="00831A0C">
        <w:rPr>
          <w:b/>
          <w:color w:val="000000" w:themeColor="text1"/>
        </w:rPr>
        <w:t>Definition</w:t>
      </w:r>
    </w:p>
    <w:p w:rsidR="00D2184A" w:rsidRDefault="00D2184A" w:rsidP="00D2184A">
      <w:pPr>
        <w:ind w:firstLine="720"/>
        <w:rPr>
          <w:color w:val="000000" w:themeColor="text1"/>
        </w:rPr>
      </w:pPr>
      <w:r>
        <w:rPr>
          <w:color w:val="000000" w:themeColor="text1"/>
        </w:rPr>
        <w:t>911 phone calls- Any phone call coming into</w:t>
      </w:r>
      <w:r w:rsidR="00355836">
        <w:rPr>
          <w:color w:val="000000" w:themeColor="text1"/>
        </w:rPr>
        <w:t xml:space="preserve"> the</w:t>
      </w:r>
      <w:r>
        <w:rPr>
          <w:color w:val="000000" w:themeColor="text1"/>
        </w:rPr>
        <w:t xml:space="preserve"> Center on one of four designated E911 phone lines</w:t>
      </w:r>
    </w:p>
    <w:p w:rsidR="00D2184A" w:rsidRDefault="00D2184A" w:rsidP="00D2184A">
      <w:pPr>
        <w:ind w:firstLine="720"/>
        <w:rPr>
          <w:color w:val="000000" w:themeColor="text1"/>
        </w:rPr>
      </w:pPr>
    </w:p>
    <w:p w:rsidR="00D2184A" w:rsidRDefault="00D2184A" w:rsidP="003F5B13">
      <w:pPr>
        <w:ind w:firstLine="720"/>
        <w:rPr>
          <w:color w:val="000000" w:themeColor="text1"/>
        </w:rPr>
      </w:pPr>
      <w:r>
        <w:rPr>
          <w:color w:val="000000" w:themeColor="text1"/>
        </w:rPr>
        <w:t>Admin phone calls- Any ph</w:t>
      </w:r>
      <w:r w:rsidR="006C176C">
        <w:rPr>
          <w:color w:val="000000" w:themeColor="text1"/>
        </w:rPr>
        <w:t>one call coming into the C</w:t>
      </w:r>
      <w:r>
        <w:rPr>
          <w:color w:val="000000" w:themeColor="text1"/>
        </w:rPr>
        <w:t xml:space="preserve">enter through one of seven standard seven digit local phone lines. </w:t>
      </w:r>
      <w:r w:rsidRPr="00831A0C">
        <w:rPr>
          <w:color w:val="000000" w:themeColor="text1"/>
        </w:rPr>
        <w:t xml:space="preserve"> </w:t>
      </w:r>
    </w:p>
    <w:p w:rsidR="003F5B13" w:rsidRDefault="003F5B13" w:rsidP="003F5B13">
      <w:pPr>
        <w:ind w:firstLine="720"/>
        <w:rPr>
          <w:color w:val="000000" w:themeColor="text1"/>
        </w:rPr>
      </w:pPr>
    </w:p>
    <w:p w:rsidR="00C51E85" w:rsidRPr="003F5B13" w:rsidRDefault="00C51E85" w:rsidP="003F5B13">
      <w:pPr>
        <w:ind w:firstLine="720"/>
        <w:rPr>
          <w:color w:val="000000" w:themeColor="text1"/>
        </w:rPr>
      </w:pPr>
    </w:p>
    <w:p w:rsidR="00961B24" w:rsidRDefault="00F571AC" w:rsidP="00961B24">
      <w:pPr>
        <w:rPr>
          <w:sz w:val="32"/>
          <w:szCs w:val="32"/>
        </w:rPr>
      </w:pPr>
      <w:r>
        <w:rPr>
          <w:noProof/>
        </w:rPr>
        <w:drawing>
          <wp:inline distT="0" distB="0" distL="0" distR="0" wp14:anchorId="02A05C2D" wp14:editId="5CFCE970">
            <wp:extent cx="5943600" cy="3065929"/>
            <wp:effectExtent l="0" t="0" r="19050" b="2032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25C79" w:rsidRPr="00961B24" w:rsidRDefault="00F25C79" w:rsidP="00961B24">
      <w:pPr>
        <w:rPr>
          <w:sz w:val="32"/>
          <w:szCs w:val="32"/>
        </w:rPr>
      </w:pPr>
      <w:r w:rsidRPr="0090040F">
        <w:rPr>
          <w:b/>
          <w:i/>
          <w:sz w:val="28"/>
          <w:szCs w:val="28"/>
          <w:u w:val="single"/>
        </w:rPr>
        <w:lastRenderedPageBreak/>
        <w:t>Calls for Service</w:t>
      </w:r>
    </w:p>
    <w:p w:rsidR="00F25C79" w:rsidRDefault="00F25C79" w:rsidP="008A7D9A">
      <w:r>
        <w:tab/>
      </w:r>
    </w:p>
    <w:p w:rsidR="00F25C79" w:rsidRDefault="00961B24" w:rsidP="00134752">
      <w:pPr>
        <w:ind w:firstLine="720"/>
        <w:jc w:val="both"/>
      </w:pPr>
      <w:r>
        <w:t>During 2016</w:t>
      </w:r>
      <w:r w:rsidR="000E1EAF">
        <w:t>, The Communications Center of the Gulf</w:t>
      </w:r>
      <w:r w:rsidR="001D0E68">
        <w:t>port Police Department fielded</w:t>
      </w:r>
      <w:r w:rsidR="00BA15A0">
        <w:t xml:space="preserve"> a total of</w:t>
      </w:r>
      <w:r w:rsidR="00F25C79">
        <w:t xml:space="preserve"> </w:t>
      </w:r>
      <w:r>
        <w:rPr>
          <w:b/>
        </w:rPr>
        <w:t>136,127</w:t>
      </w:r>
      <w:r w:rsidR="00F25C79">
        <w:t xml:space="preserve"> calls</w:t>
      </w:r>
      <w:r w:rsidR="00331DF0">
        <w:t xml:space="preserve"> for service. That represents a</w:t>
      </w:r>
      <w:r w:rsidR="004B0C38">
        <w:t xml:space="preserve"> </w:t>
      </w:r>
      <w:r>
        <w:rPr>
          <w:b/>
        </w:rPr>
        <w:t>2</w:t>
      </w:r>
      <w:r w:rsidR="00F25C79" w:rsidRPr="00CB68DF">
        <w:rPr>
          <w:b/>
        </w:rPr>
        <w:t>%</w:t>
      </w:r>
      <w:r w:rsidR="00F25C79">
        <w:t xml:space="preserve"> </w:t>
      </w:r>
      <w:r>
        <w:t>de</w:t>
      </w:r>
      <w:r w:rsidR="007E10C9">
        <w:t>crease</w:t>
      </w:r>
      <w:r w:rsidR="00C72FDA">
        <w:t xml:space="preserve"> </w:t>
      </w:r>
      <w:r w:rsidR="00F25C79">
        <w:t xml:space="preserve">when compared to </w:t>
      </w:r>
      <w:r>
        <w:t>2015</w:t>
      </w:r>
      <w:r w:rsidR="004D42B5">
        <w:t>.</w:t>
      </w:r>
      <w:r w:rsidR="00F25C79">
        <w:t xml:space="preserve"> </w:t>
      </w:r>
      <w:r w:rsidR="006E7576">
        <w:t>In comparing to the</w:t>
      </w:r>
      <w:r w:rsidR="00B1104E">
        <w:t xml:space="preserve"> previous five year average a </w:t>
      </w:r>
      <w:r w:rsidR="009C3ACB">
        <w:rPr>
          <w:b/>
        </w:rPr>
        <w:t>9</w:t>
      </w:r>
      <w:r w:rsidR="006E7576" w:rsidRPr="00B1104E">
        <w:rPr>
          <w:b/>
        </w:rPr>
        <w:t>%</w:t>
      </w:r>
      <w:r w:rsidR="006E7576">
        <w:t xml:space="preserve"> decrease was noted. </w:t>
      </w:r>
    </w:p>
    <w:p w:rsidR="003D7B47" w:rsidRDefault="003D7B47" w:rsidP="00F25C79"/>
    <w:tbl>
      <w:tblPr>
        <w:tblW w:w="9578" w:type="dxa"/>
        <w:tblInd w:w="93" w:type="dxa"/>
        <w:tblLook w:val="04A0" w:firstRow="1" w:lastRow="0" w:firstColumn="1" w:lastColumn="0" w:noHBand="0" w:noVBand="1"/>
      </w:tblPr>
      <w:tblGrid>
        <w:gridCol w:w="1406"/>
        <w:gridCol w:w="1201"/>
        <w:gridCol w:w="995"/>
        <w:gridCol w:w="995"/>
        <w:gridCol w:w="995"/>
        <w:gridCol w:w="995"/>
        <w:gridCol w:w="995"/>
        <w:gridCol w:w="995"/>
        <w:gridCol w:w="1001"/>
      </w:tblGrid>
      <w:tr w:rsidR="008F079A" w:rsidTr="00C51E85">
        <w:trPr>
          <w:trHeight w:val="278"/>
        </w:trPr>
        <w:tc>
          <w:tcPr>
            <w:tcW w:w="9578" w:type="dxa"/>
            <w:gridSpan w:val="9"/>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8F079A" w:rsidRDefault="008F079A" w:rsidP="00C51E85">
            <w:pPr>
              <w:jc w:val="center"/>
              <w:rPr>
                <w:rFonts w:ascii="Arial" w:hAnsi="Arial" w:cs="Arial"/>
                <w:b/>
                <w:bCs/>
                <w:color w:val="000000"/>
              </w:rPr>
            </w:pPr>
            <w:r>
              <w:rPr>
                <w:rFonts w:ascii="Arial" w:hAnsi="Arial" w:cs="Arial"/>
                <w:b/>
                <w:bCs/>
                <w:color w:val="000000"/>
              </w:rPr>
              <w:t>CALLS FOR SERVICE</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MONTH</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5-Yr Avg.</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2011</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2012</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2015</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2016</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January</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12,673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15,080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13,328</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14,060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11,537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10,292</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11,741</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10,848</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February</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11,509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12,823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11,695</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12,986</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10,679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10,169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10,699</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11,458</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March</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12,683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14,092</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14,131</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12,979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11,359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11,389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12,146</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11,665</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April</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12,595</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14,467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13,904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13,066</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11,844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11,047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11,241</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11,366</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May</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13,210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15,340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13,606</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14,097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13,045</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11,474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11,697</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12,200</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June</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11,985</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13,609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12,904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12,527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11,207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10,302</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11,360</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11,258</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July</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12,954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15,633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15,081</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12,554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10,429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11,899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12,127</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10,898</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August</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12,973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14,169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16,648</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13,484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10,836</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10,920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11,781</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11,338</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September</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11,974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13,988</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15,290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12,016</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9,440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9,393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11,715</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11,020</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October</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12,548</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13,047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16,105</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12,597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10,924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10,600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12,014</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11,203</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November</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11,852</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13,141</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14,447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11,288</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10,590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10,627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11,018</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10,671</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December</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12,175</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13,288</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14,350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11,993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10,473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11,250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11,693</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12,202</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Totals:</w:t>
            </w:r>
          </w:p>
        </w:tc>
        <w:tc>
          <w:tcPr>
            <w:tcW w:w="120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149,128</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168,677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171,489</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153,647</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132,363</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129,362</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139,232</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136,127</w:t>
            </w:r>
          </w:p>
        </w:tc>
      </w:tr>
      <w:tr w:rsidR="00C51E85" w:rsidTr="00C51E85">
        <w:trPr>
          <w:trHeight w:val="278"/>
        </w:trPr>
        <w:tc>
          <w:tcPr>
            <w:tcW w:w="1406"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 of ∆</w:t>
            </w:r>
          </w:p>
        </w:tc>
        <w:tc>
          <w:tcPr>
            <w:tcW w:w="1201" w:type="dxa"/>
            <w:tcBorders>
              <w:top w:val="nil"/>
              <w:left w:val="nil"/>
              <w:bottom w:val="single" w:sz="4" w:space="0" w:color="auto"/>
              <w:right w:val="single" w:sz="4" w:space="0" w:color="auto"/>
            </w:tcBorders>
            <w:shd w:val="clear" w:color="000000" w:fill="000000"/>
            <w:noWrap/>
            <w:vAlign w:val="center"/>
            <w:hideMark/>
          </w:tcPr>
          <w:p w:rsidR="008F079A" w:rsidRDefault="008F079A" w:rsidP="00C51E85">
            <w:pPr>
              <w:jc w:val="center"/>
              <w:rPr>
                <w:rFonts w:ascii="Arial" w:hAnsi="Arial" w:cs="Arial"/>
                <w:sz w:val="20"/>
                <w:szCs w:val="20"/>
              </w:rPr>
            </w:pPr>
          </w:p>
        </w:tc>
        <w:tc>
          <w:tcPr>
            <w:tcW w:w="995" w:type="dxa"/>
            <w:tcBorders>
              <w:top w:val="nil"/>
              <w:left w:val="nil"/>
              <w:bottom w:val="single" w:sz="4" w:space="0" w:color="auto"/>
              <w:right w:val="single" w:sz="4" w:space="0" w:color="auto"/>
            </w:tcBorders>
            <w:shd w:val="clear" w:color="000000" w:fill="000000"/>
            <w:noWrap/>
            <w:vAlign w:val="center"/>
            <w:hideMark/>
          </w:tcPr>
          <w:p w:rsidR="008F079A" w:rsidRDefault="008F079A" w:rsidP="00C51E85">
            <w:pPr>
              <w:jc w:val="center"/>
              <w:rPr>
                <w:rFonts w:ascii="Arial" w:hAnsi="Arial" w:cs="Arial"/>
                <w:b/>
                <w:bCs/>
                <w:sz w:val="20"/>
                <w:szCs w:val="20"/>
              </w:rPr>
            </w:pP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-10%</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-14%</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w:t>
            </w:r>
          </w:p>
        </w:tc>
        <w:tc>
          <w:tcPr>
            <w:tcW w:w="995"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8%</w:t>
            </w:r>
          </w:p>
        </w:tc>
        <w:tc>
          <w:tcPr>
            <w:tcW w:w="999"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w:t>
            </w:r>
          </w:p>
        </w:tc>
      </w:tr>
    </w:tbl>
    <w:p w:rsidR="00930776" w:rsidRDefault="00930776" w:rsidP="00F25C79"/>
    <w:p w:rsidR="00085C18" w:rsidRDefault="00085C18" w:rsidP="00F25C79"/>
    <w:p w:rsidR="009A6FE7" w:rsidRDefault="008F079A" w:rsidP="001F3A29">
      <w:r>
        <w:rPr>
          <w:noProof/>
        </w:rPr>
        <w:drawing>
          <wp:inline distT="0" distB="0" distL="0" distR="0" wp14:anchorId="6DCC22DC" wp14:editId="2845CF58">
            <wp:extent cx="6063343" cy="3341914"/>
            <wp:effectExtent l="0" t="0" r="13970" b="1143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85C18" w:rsidRDefault="00085C18" w:rsidP="00085C18"/>
    <w:p w:rsidR="00C51E85" w:rsidRDefault="00C51E85" w:rsidP="00085C18">
      <w:pPr>
        <w:rPr>
          <w:b/>
          <w:i/>
          <w:sz w:val="28"/>
          <w:szCs w:val="28"/>
          <w:u w:val="single"/>
        </w:rPr>
      </w:pPr>
    </w:p>
    <w:p w:rsidR="00BA15A0" w:rsidRPr="00085C18" w:rsidRDefault="00BA15A0" w:rsidP="00085C18">
      <w:r>
        <w:rPr>
          <w:b/>
          <w:i/>
          <w:sz w:val="28"/>
          <w:szCs w:val="28"/>
          <w:u w:val="single"/>
        </w:rPr>
        <w:lastRenderedPageBreak/>
        <w:t>Officer Initiated Calls for Service:</w:t>
      </w:r>
    </w:p>
    <w:p w:rsidR="00BA15A0" w:rsidRDefault="00BA15A0" w:rsidP="00BA15A0">
      <w:r>
        <w:tab/>
      </w:r>
    </w:p>
    <w:p w:rsidR="00BA15A0" w:rsidRDefault="00BA15A0" w:rsidP="00BA15A0">
      <w:pPr>
        <w:ind w:firstLine="720"/>
        <w:jc w:val="both"/>
      </w:pPr>
      <w:r>
        <w:t xml:space="preserve">Calls for Service that originated from a Police Officer </w:t>
      </w:r>
      <w:r w:rsidR="009C3ACB">
        <w:t>de</w:t>
      </w:r>
      <w:r w:rsidR="00355836">
        <w:t xml:space="preserve">creased </w:t>
      </w:r>
      <w:r w:rsidR="009C3ACB">
        <w:rPr>
          <w:b/>
        </w:rPr>
        <w:t>7</w:t>
      </w:r>
      <w:r w:rsidRPr="00BA15A0">
        <w:rPr>
          <w:b/>
        </w:rPr>
        <w:t>%</w:t>
      </w:r>
      <w:r w:rsidR="009C3ACB">
        <w:t xml:space="preserve"> from 2015</w:t>
      </w:r>
      <w:r>
        <w:t xml:space="preserve">.  On the five year comparison they decreased </w:t>
      </w:r>
      <w:r w:rsidR="00355836">
        <w:rPr>
          <w:b/>
        </w:rPr>
        <w:t>28</w:t>
      </w:r>
      <w:r w:rsidRPr="00BA15A0">
        <w:rPr>
          <w:b/>
        </w:rPr>
        <w:t>%.</w:t>
      </w:r>
      <w:r>
        <w:t xml:space="preserve"> </w:t>
      </w:r>
    </w:p>
    <w:p w:rsidR="00BA15A0" w:rsidRDefault="00BA15A0" w:rsidP="00BA15A0"/>
    <w:p w:rsidR="00085C18" w:rsidRDefault="00085C18" w:rsidP="00BA15A0"/>
    <w:tbl>
      <w:tblPr>
        <w:tblW w:w="9499" w:type="dxa"/>
        <w:tblInd w:w="93" w:type="dxa"/>
        <w:tblLook w:val="04A0" w:firstRow="1" w:lastRow="0" w:firstColumn="1" w:lastColumn="0" w:noHBand="0" w:noVBand="1"/>
      </w:tblPr>
      <w:tblGrid>
        <w:gridCol w:w="1512"/>
        <w:gridCol w:w="1291"/>
        <w:gridCol w:w="1070"/>
        <w:gridCol w:w="1070"/>
        <w:gridCol w:w="911"/>
        <w:gridCol w:w="911"/>
        <w:gridCol w:w="911"/>
        <w:gridCol w:w="911"/>
        <w:gridCol w:w="912"/>
      </w:tblGrid>
      <w:tr w:rsidR="008F079A" w:rsidTr="00C51E85">
        <w:trPr>
          <w:trHeight w:val="284"/>
        </w:trPr>
        <w:tc>
          <w:tcPr>
            <w:tcW w:w="9499" w:type="dxa"/>
            <w:gridSpan w:val="9"/>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8F079A" w:rsidRDefault="008F079A" w:rsidP="00C51E85">
            <w:pPr>
              <w:jc w:val="center"/>
              <w:rPr>
                <w:rFonts w:ascii="Arial" w:hAnsi="Arial" w:cs="Arial"/>
                <w:b/>
                <w:bCs/>
                <w:color w:val="000000"/>
              </w:rPr>
            </w:pPr>
            <w:r>
              <w:rPr>
                <w:rFonts w:ascii="Arial" w:hAnsi="Arial" w:cs="Arial"/>
                <w:b/>
                <w:bCs/>
                <w:color w:val="000000"/>
              </w:rPr>
              <w:t>OFFICER INITIATED CALLS</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MONTH</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5-Yr Avg.</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2010</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2012</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2013</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2015</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2016</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January</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7,514</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9,750</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8,436</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8,833</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6,470</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5,421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6,175</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5,304</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February</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6,840</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8,327</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7,101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8,119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6,061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5,770</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5,659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5,868</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March</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7,112</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8,672</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8,673</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7,144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6,064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6,140</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5,979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5,239</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April</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6,943</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8,945</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8,442</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7,336</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6,301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5,651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4,981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5,052</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May</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7,110</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9,277</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8,033</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7,567</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7,057</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5,636</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5,091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5,457</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June</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6,131</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7,681</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7,310</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6,889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5,505</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4,543</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4,859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4,730</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July</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6,862</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9,395</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9,020</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6,814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4,642</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5,877</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5,426</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4,209</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August</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7,082</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8,574</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10,674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7,386</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5,220</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5,245</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5,391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5,025</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September</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6,497</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8,461</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9,758</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6,649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4,139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4,259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5,718</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4,727</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October</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7,046</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8,213</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10,635</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7,337</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5,425</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4,974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5,692</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4,937</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November</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6,739</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8,076</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9,602</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6,401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5,318</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5,451</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5,586</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4,882</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December</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6,748</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8,011</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9,073</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6,724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5,314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5,597</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5,769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6,207</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Totals:</w:t>
            </w:r>
          </w:p>
        </w:tc>
        <w:tc>
          <w:tcPr>
            <w:tcW w:w="129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85,884</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103,382</w:t>
            </w: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106,757</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87,199</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67,516</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64,564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66,326</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61,637</w:t>
            </w:r>
          </w:p>
        </w:tc>
      </w:tr>
      <w:tr w:rsidR="008F079A" w:rsidTr="00C51E85">
        <w:trPr>
          <w:trHeight w:val="284"/>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 of ∆</w:t>
            </w:r>
          </w:p>
        </w:tc>
        <w:tc>
          <w:tcPr>
            <w:tcW w:w="1291" w:type="dxa"/>
            <w:tcBorders>
              <w:top w:val="nil"/>
              <w:left w:val="nil"/>
              <w:bottom w:val="single" w:sz="4" w:space="0" w:color="auto"/>
              <w:right w:val="single" w:sz="4" w:space="0" w:color="auto"/>
            </w:tcBorders>
            <w:shd w:val="clear" w:color="000000" w:fill="000000"/>
            <w:noWrap/>
            <w:vAlign w:val="center"/>
            <w:hideMark/>
          </w:tcPr>
          <w:p w:rsidR="008F079A" w:rsidRDefault="008F079A" w:rsidP="00C51E85">
            <w:pPr>
              <w:jc w:val="center"/>
              <w:rPr>
                <w:rFonts w:ascii="Arial" w:hAnsi="Arial" w:cs="Arial"/>
                <w:sz w:val="20"/>
                <w:szCs w:val="20"/>
              </w:rPr>
            </w:pPr>
            <w:r>
              <w:rPr>
                <w:rFonts w:ascii="Arial" w:hAnsi="Arial" w:cs="Arial"/>
                <w:sz w:val="20"/>
                <w:szCs w:val="20"/>
              </w:rPr>
              <w:t>.</w:t>
            </w:r>
          </w:p>
        </w:tc>
        <w:tc>
          <w:tcPr>
            <w:tcW w:w="1070" w:type="dxa"/>
            <w:tcBorders>
              <w:top w:val="nil"/>
              <w:left w:val="nil"/>
              <w:bottom w:val="single" w:sz="4" w:space="0" w:color="auto"/>
              <w:right w:val="single" w:sz="4" w:space="0" w:color="auto"/>
            </w:tcBorders>
            <w:shd w:val="clear" w:color="000000" w:fill="000000"/>
            <w:noWrap/>
            <w:vAlign w:val="center"/>
            <w:hideMark/>
          </w:tcPr>
          <w:p w:rsidR="008F079A" w:rsidRDefault="008F079A" w:rsidP="00C51E85">
            <w:pPr>
              <w:jc w:val="center"/>
              <w:rPr>
                <w:rFonts w:ascii="Arial" w:hAnsi="Arial" w:cs="Arial"/>
                <w:b/>
                <w:bCs/>
                <w:sz w:val="20"/>
                <w:szCs w:val="20"/>
              </w:rPr>
            </w:pPr>
          </w:p>
        </w:tc>
        <w:tc>
          <w:tcPr>
            <w:tcW w:w="1070"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3%</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-18%</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-23%</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-4%</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3%</w:t>
            </w:r>
          </w:p>
        </w:tc>
        <w:tc>
          <w:tcPr>
            <w:tcW w:w="911"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-7%</w:t>
            </w:r>
          </w:p>
        </w:tc>
      </w:tr>
    </w:tbl>
    <w:p w:rsidR="00BA15A0" w:rsidRDefault="00BA15A0" w:rsidP="00BA15A0"/>
    <w:p w:rsidR="00BA15A0" w:rsidRDefault="00BA15A0" w:rsidP="00BA15A0"/>
    <w:p w:rsidR="00BA15A0" w:rsidRDefault="008F079A" w:rsidP="00BA15A0">
      <w:r>
        <w:rPr>
          <w:noProof/>
        </w:rPr>
        <w:drawing>
          <wp:inline distT="0" distB="0" distL="0" distR="0" wp14:anchorId="23C05A2C" wp14:editId="0E27CB14">
            <wp:extent cx="5987143" cy="3178629"/>
            <wp:effectExtent l="0" t="0" r="13970" b="2222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A15A0" w:rsidRDefault="00BA15A0" w:rsidP="00BA15A0"/>
    <w:p w:rsidR="003422EB" w:rsidRDefault="003422EB" w:rsidP="0015590E">
      <w:pPr>
        <w:outlineLvl w:val="0"/>
        <w:rPr>
          <w:b/>
          <w:i/>
          <w:sz w:val="28"/>
          <w:szCs w:val="28"/>
          <w:u w:val="single"/>
        </w:rPr>
      </w:pPr>
    </w:p>
    <w:p w:rsidR="003422EB" w:rsidRDefault="003422EB" w:rsidP="0015590E">
      <w:pPr>
        <w:outlineLvl w:val="0"/>
        <w:rPr>
          <w:b/>
          <w:i/>
          <w:sz w:val="28"/>
          <w:szCs w:val="28"/>
          <w:u w:val="single"/>
        </w:rPr>
      </w:pPr>
    </w:p>
    <w:p w:rsidR="0015590E" w:rsidRPr="0090040F" w:rsidRDefault="0015590E" w:rsidP="0015590E">
      <w:pPr>
        <w:outlineLvl w:val="0"/>
        <w:rPr>
          <w:b/>
          <w:i/>
          <w:sz w:val="28"/>
          <w:szCs w:val="28"/>
          <w:u w:val="single"/>
        </w:rPr>
      </w:pPr>
      <w:r>
        <w:rPr>
          <w:b/>
          <w:i/>
          <w:sz w:val="28"/>
          <w:szCs w:val="28"/>
          <w:u w:val="single"/>
        </w:rPr>
        <w:lastRenderedPageBreak/>
        <w:t>Citizen Initiated Calls for Service:</w:t>
      </w:r>
    </w:p>
    <w:p w:rsidR="0015590E" w:rsidRDefault="0015590E" w:rsidP="0015590E">
      <w:r>
        <w:tab/>
      </w:r>
    </w:p>
    <w:p w:rsidR="0015590E" w:rsidRDefault="0015590E" w:rsidP="0015590E">
      <w:pPr>
        <w:ind w:firstLine="720"/>
        <w:jc w:val="both"/>
      </w:pPr>
      <w:r>
        <w:t>Calls for Service at the request of the general</w:t>
      </w:r>
      <w:r w:rsidR="00355836">
        <w:t xml:space="preserve"> public</w:t>
      </w:r>
      <w:r>
        <w:t xml:space="preserve"> </w:t>
      </w:r>
      <w:r w:rsidR="00355836">
        <w:t xml:space="preserve">increased </w:t>
      </w:r>
      <w:r w:rsidR="009C3ACB">
        <w:rPr>
          <w:b/>
        </w:rPr>
        <w:t>2</w:t>
      </w:r>
      <w:r w:rsidR="00355836" w:rsidRPr="00537556">
        <w:rPr>
          <w:b/>
        </w:rPr>
        <w:t>%</w:t>
      </w:r>
      <w:r w:rsidR="00355836">
        <w:t xml:space="preserve"> when compared to 201</w:t>
      </w:r>
      <w:r w:rsidR="009C3ACB">
        <w:t>5</w:t>
      </w:r>
      <w:r w:rsidR="00355836">
        <w:t>.  An in</w:t>
      </w:r>
      <w:r>
        <w:t xml:space="preserve">crease of </w:t>
      </w:r>
      <w:r w:rsidR="00355836">
        <w:rPr>
          <w:b/>
        </w:rPr>
        <w:t>12</w:t>
      </w:r>
      <w:r w:rsidRPr="0015590E">
        <w:rPr>
          <w:b/>
        </w:rPr>
        <w:t>%</w:t>
      </w:r>
      <w:r>
        <w:t xml:space="preserve"> was </w:t>
      </w:r>
      <w:r w:rsidR="009C3ACB">
        <w:t xml:space="preserve">also </w:t>
      </w:r>
      <w:r>
        <w:t xml:space="preserve">noted when compared to the five year average.  </w:t>
      </w:r>
    </w:p>
    <w:p w:rsidR="0015590E" w:rsidRDefault="0015590E" w:rsidP="0015590E"/>
    <w:tbl>
      <w:tblPr>
        <w:tblW w:w="9446" w:type="dxa"/>
        <w:tblInd w:w="93" w:type="dxa"/>
        <w:tblLook w:val="04A0" w:firstRow="1" w:lastRow="0" w:firstColumn="1" w:lastColumn="0" w:noHBand="0" w:noVBand="1"/>
      </w:tblPr>
      <w:tblGrid>
        <w:gridCol w:w="1553"/>
        <w:gridCol w:w="1327"/>
        <w:gridCol w:w="938"/>
        <w:gridCol w:w="938"/>
        <w:gridCol w:w="938"/>
        <w:gridCol w:w="938"/>
        <w:gridCol w:w="938"/>
        <w:gridCol w:w="938"/>
        <w:gridCol w:w="938"/>
      </w:tblGrid>
      <w:tr w:rsidR="008F079A" w:rsidTr="00C51E85">
        <w:trPr>
          <w:trHeight w:val="280"/>
        </w:trPr>
        <w:tc>
          <w:tcPr>
            <w:tcW w:w="9444" w:type="dxa"/>
            <w:gridSpan w:val="9"/>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8F079A" w:rsidRDefault="008F079A" w:rsidP="00C51E85">
            <w:pPr>
              <w:jc w:val="center"/>
              <w:rPr>
                <w:rFonts w:ascii="Arial" w:hAnsi="Arial" w:cs="Arial"/>
                <w:b/>
                <w:bCs/>
                <w:color w:val="000000"/>
              </w:rPr>
            </w:pPr>
            <w:r>
              <w:rPr>
                <w:rFonts w:ascii="Arial" w:hAnsi="Arial" w:cs="Arial"/>
                <w:b/>
                <w:bCs/>
                <w:color w:val="000000"/>
              </w:rPr>
              <w:t>CITIZEN INITIATED CALLS</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MONTH</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5-Yr Avg.</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2016</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January</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5,159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5,330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4,892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5,227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5,067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4,871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5,566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5,544</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February</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4,669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4,496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4,594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4,867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4,618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4,399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5,040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5,590</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March</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5,571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5,420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5,458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5,835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5,295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5,249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6,167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6,426</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April</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5,652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5,522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5,462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5,730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5,543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5,396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6,260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6,314</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May</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6,100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6,063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5,573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6,530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5,988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5,838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6,606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6,743</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June</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5,854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5,928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5,594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5,638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5,702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5,759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6,501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6,528</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July</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6,092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6,238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6,061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5,740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5,787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6,022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6,701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6,689</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August</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5,891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5,595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5,974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6,098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5,616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5,675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6,390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6,313</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September</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5,476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5,527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5,532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5,367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5,301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5,134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5,997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6,293</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October</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5,502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4,834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5,470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5,260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5,499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5,626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6,322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6,266</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November</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5,113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5,065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4,845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4,887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5,272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5,176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5,432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5,789</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December</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5,427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5,277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5,277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5,269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5,159</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5,653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5,924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sz w:val="20"/>
                <w:szCs w:val="20"/>
              </w:rPr>
            </w:pPr>
            <w:r>
              <w:rPr>
                <w:rFonts w:ascii="Arial" w:hAnsi="Arial" w:cs="Arial"/>
                <w:sz w:val="20"/>
                <w:szCs w:val="20"/>
              </w:rPr>
              <w:t>5,995</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Totals:</w:t>
            </w:r>
          </w:p>
        </w:tc>
        <w:tc>
          <w:tcPr>
            <w:tcW w:w="1327"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66,504</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65,295</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64,732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66,448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64,847</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64,798</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72,906</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74,490</w:t>
            </w:r>
          </w:p>
        </w:tc>
      </w:tr>
      <w:tr w:rsidR="008F079A" w:rsidTr="00C51E85">
        <w:trPr>
          <w:trHeight w:val="28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 of ∆</w:t>
            </w:r>
          </w:p>
        </w:tc>
        <w:tc>
          <w:tcPr>
            <w:tcW w:w="1327" w:type="dxa"/>
            <w:tcBorders>
              <w:top w:val="nil"/>
              <w:left w:val="nil"/>
              <w:bottom w:val="single" w:sz="4" w:space="0" w:color="auto"/>
              <w:right w:val="single" w:sz="4" w:space="0" w:color="auto"/>
            </w:tcBorders>
            <w:shd w:val="clear" w:color="000000" w:fill="000000"/>
            <w:noWrap/>
            <w:vAlign w:val="center"/>
            <w:hideMark/>
          </w:tcPr>
          <w:p w:rsidR="008F079A" w:rsidRDefault="008F079A" w:rsidP="00C51E85">
            <w:pPr>
              <w:jc w:val="center"/>
              <w:rPr>
                <w:rFonts w:ascii="Arial" w:hAnsi="Arial" w:cs="Arial"/>
                <w:sz w:val="20"/>
                <w:szCs w:val="20"/>
              </w:rPr>
            </w:pPr>
          </w:p>
        </w:tc>
        <w:tc>
          <w:tcPr>
            <w:tcW w:w="938" w:type="dxa"/>
            <w:tcBorders>
              <w:top w:val="nil"/>
              <w:left w:val="nil"/>
              <w:bottom w:val="single" w:sz="4" w:space="0" w:color="auto"/>
              <w:right w:val="single" w:sz="4" w:space="0" w:color="auto"/>
            </w:tcBorders>
            <w:shd w:val="clear" w:color="000000" w:fill="000000"/>
            <w:noWrap/>
            <w:vAlign w:val="center"/>
            <w:hideMark/>
          </w:tcPr>
          <w:p w:rsidR="008F079A" w:rsidRDefault="008F079A" w:rsidP="00C51E85">
            <w:pPr>
              <w:jc w:val="center"/>
              <w:rPr>
                <w:rFonts w:ascii="Arial" w:hAnsi="Arial" w:cs="Arial"/>
                <w:b/>
                <w:bCs/>
                <w:sz w:val="20"/>
                <w:szCs w:val="20"/>
              </w:rPr>
            </w:pP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0%</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13%</w:t>
            </w:r>
          </w:p>
        </w:tc>
        <w:tc>
          <w:tcPr>
            <w:tcW w:w="938" w:type="dxa"/>
            <w:tcBorders>
              <w:top w:val="nil"/>
              <w:left w:val="nil"/>
              <w:bottom w:val="single" w:sz="4" w:space="0" w:color="auto"/>
              <w:right w:val="single" w:sz="4" w:space="0" w:color="auto"/>
            </w:tcBorders>
            <w:shd w:val="clear" w:color="auto" w:fill="auto"/>
            <w:noWrap/>
            <w:vAlign w:val="center"/>
            <w:hideMark/>
          </w:tcPr>
          <w:p w:rsidR="008F079A" w:rsidRDefault="008F079A" w:rsidP="00C51E85">
            <w:pPr>
              <w:jc w:val="center"/>
              <w:rPr>
                <w:rFonts w:ascii="Arial" w:hAnsi="Arial" w:cs="Arial"/>
                <w:b/>
                <w:bCs/>
                <w:sz w:val="20"/>
                <w:szCs w:val="20"/>
              </w:rPr>
            </w:pPr>
            <w:r>
              <w:rPr>
                <w:rFonts w:ascii="Arial" w:hAnsi="Arial" w:cs="Arial"/>
                <w:b/>
                <w:bCs/>
                <w:sz w:val="20"/>
                <w:szCs w:val="20"/>
              </w:rPr>
              <w:t>2%</w:t>
            </w:r>
          </w:p>
        </w:tc>
      </w:tr>
    </w:tbl>
    <w:p w:rsidR="0015590E" w:rsidRDefault="0015590E" w:rsidP="0015590E"/>
    <w:p w:rsidR="0015590E" w:rsidRDefault="0015590E" w:rsidP="0015590E"/>
    <w:p w:rsidR="0015590E" w:rsidRDefault="0015590E" w:rsidP="0015590E"/>
    <w:p w:rsidR="0015590E" w:rsidRDefault="0015590E" w:rsidP="0015590E"/>
    <w:p w:rsidR="00CD457D" w:rsidRDefault="008F079A" w:rsidP="00134752">
      <w:pPr>
        <w:ind w:right="-180"/>
        <w:outlineLvl w:val="0"/>
        <w:rPr>
          <w:b/>
          <w:i/>
          <w:sz w:val="28"/>
          <w:szCs w:val="28"/>
          <w:u w:val="single"/>
        </w:rPr>
      </w:pPr>
      <w:r>
        <w:rPr>
          <w:noProof/>
        </w:rPr>
        <w:drawing>
          <wp:inline distT="0" distB="0" distL="0" distR="0" wp14:anchorId="27E8887A" wp14:editId="0C834E6D">
            <wp:extent cx="5591175" cy="3174422"/>
            <wp:effectExtent l="0" t="0" r="9525" b="26035"/>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D457D" w:rsidRDefault="00CD457D" w:rsidP="00134752">
      <w:pPr>
        <w:ind w:right="-180"/>
        <w:outlineLvl w:val="0"/>
        <w:rPr>
          <w:b/>
          <w:i/>
          <w:sz w:val="28"/>
          <w:szCs w:val="28"/>
          <w:u w:val="single"/>
        </w:rPr>
      </w:pPr>
    </w:p>
    <w:p w:rsidR="00CD457D" w:rsidRDefault="00CD457D" w:rsidP="00E22A16">
      <w:pPr>
        <w:outlineLvl w:val="0"/>
        <w:rPr>
          <w:b/>
          <w:i/>
          <w:sz w:val="28"/>
          <w:szCs w:val="28"/>
          <w:u w:val="single"/>
        </w:rPr>
      </w:pPr>
    </w:p>
    <w:p w:rsidR="001F3E55" w:rsidRPr="00134752" w:rsidRDefault="001F3E55" w:rsidP="00355836">
      <w:pPr>
        <w:ind w:right="-90"/>
        <w:outlineLvl w:val="0"/>
        <w:rPr>
          <w:rFonts w:ascii="Arial" w:hAnsi="Arial" w:cs="Arial"/>
          <w:b/>
          <w:bCs/>
          <w:color w:val="FFFFFF"/>
        </w:rPr>
      </w:pPr>
      <w:r w:rsidRPr="0090040F">
        <w:rPr>
          <w:b/>
          <w:i/>
          <w:sz w:val="28"/>
          <w:szCs w:val="28"/>
          <w:u w:val="single"/>
        </w:rPr>
        <w:lastRenderedPageBreak/>
        <w:t>Traffic Data</w:t>
      </w:r>
      <w:r w:rsidR="007E10C9">
        <w:rPr>
          <w:b/>
          <w:i/>
          <w:sz w:val="28"/>
          <w:szCs w:val="28"/>
          <w:u w:val="single"/>
        </w:rPr>
        <w:t>:</w:t>
      </w:r>
    </w:p>
    <w:p w:rsidR="0090040F" w:rsidRDefault="00BF3AD1" w:rsidP="009D6B48">
      <w:r>
        <w:tab/>
      </w:r>
    </w:p>
    <w:p w:rsidR="001F3E55" w:rsidRDefault="000F2074" w:rsidP="00134752">
      <w:pPr>
        <w:ind w:firstLine="720"/>
        <w:jc w:val="both"/>
      </w:pPr>
      <w:r>
        <w:t>Total crashes for</w:t>
      </w:r>
      <w:r w:rsidR="00537556">
        <w:t xml:space="preserve"> 2015</w:t>
      </w:r>
      <w:r w:rsidR="00354EC1">
        <w:t xml:space="preserve"> </w:t>
      </w:r>
      <w:r w:rsidR="00B1104E">
        <w:t>in</w:t>
      </w:r>
      <w:r w:rsidR="00E14A30">
        <w:t>creased</w:t>
      </w:r>
      <w:r w:rsidR="00354EC1">
        <w:t xml:space="preserve"> </w:t>
      </w:r>
      <w:r w:rsidR="009C3ACB">
        <w:rPr>
          <w:b/>
        </w:rPr>
        <w:t>7</w:t>
      </w:r>
      <w:r w:rsidR="00BF3AD1" w:rsidRPr="0016605B">
        <w:rPr>
          <w:b/>
        </w:rPr>
        <w:t>%</w:t>
      </w:r>
      <w:r w:rsidR="00BF3AD1">
        <w:t xml:space="preserve"> when compared to </w:t>
      </w:r>
      <w:r w:rsidR="004D42B5">
        <w:t>20</w:t>
      </w:r>
      <w:r w:rsidR="009C3ACB">
        <w:t>15</w:t>
      </w:r>
      <w:r w:rsidR="00354EC1">
        <w:t xml:space="preserve"> </w:t>
      </w:r>
      <w:r w:rsidR="001D0E68">
        <w:t>and in</w:t>
      </w:r>
      <w:r w:rsidR="00FE458F">
        <w:t xml:space="preserve">creased </w:t>
      </w:r>
      <w:r w:rsidR="001D0E68">
        <w:rPr>
          <w:b/>
        </w:rPr>
        <w:t>1</w:t>
      </w:r>
      <w:r w:rsidR="009C3ACB">
        <w:rPr>
          <w:b/>
        </w:rPr>
        <w:t>7</w:t>
      </w:r>
      <w:r w:rsidR="00BF3AD1" w:rsidRPr="00E14A30">
        <w:rPr>
          <w:b/>
        </w:rPr>
        <w:t>%</w:t>
      </w:r>
      <w:r w:rsidR="00BF3AD1">
        <w:t xml:space="preserve"> compared to the </w:t>
      </w:r>
      <w:r w:rsidR="00CD51AB">
        <w:t xml:space="preserve">previous </w:t>
      </w:r>
      <w:r w:rsidR="00BF3AD1">
        <w:t>five-year average.</w:t>
      </w:r>
    </w:p>
    <w:p w:rsidR="00F75951" w:rsidRDefault="00F75951" w:rsidP="00134752">
      <w:pPr>
        <w:ind w:left="576"/>
        <w:jc w:val="both"/>
      </w:pPr>
    </w:p>
    <w:tbl>
      <w:tblPr>
        <w:tblW w:w="9340" w:type="dxa"/>
        <w:tblInd w:w="93" w:type="dxa"/>
        <w:tblLook w:val="04A0" w:firstRow="1" w:lastRow="0" w:firstColumn="1" w:lastColumn="0" w:noHBand="0" w:noVBand="1"/>
      </w:tblPr>
      <w:tblGrid>
        <w:gridCol w:w="2089"/>
        <w:gridCol w:w="1653"/>
        <w:gridCol w:w="933"/>
        <w:gridCol w:w="933"/>
        <w:gridCol w:w="933"/>
        <w:gridCol w:w="933"/>
        <w:gridCol w:w="933"/>
        <w:gridCol w:w="933"/>
      </w:tblGrid>
      <w:tr w:rsidR="00435B2C" w:rsidTr="00C51E85">
        <w:trPr>
          <w:trHeight w:val="284"/>
        </w:trPr>
        <w:tc>
          <w:tcPr>
            <w:tcW w:w="9337"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435B2C" w:rsidRDefault="00435B2C" w:rsidP="00C51E85">
            <w:pPr>
              <w:jc w:val="center"/>
              <w:rPr>
                <w:rFonts w:ascii="Arial" w:hAnsi="Arial" w:cs="Arial"/>
                <w:b/>
                <w:bCs/>
                <w:sz w:val="28"/>
                <w:szCs w:val="28"/>
              </w:rPr>
            </w:pPr>
            <w:r>
              <w:rPr>
                <w:rFonts w:ascii="Arial" w:hAnsi="Arial" w:cs="Arial"/>
                <w:b/>
                <w:bCs/>
                <w:sz w:val="28"/>
                <w:szCs w:val="28"/>
              </w:rPr>
              <w:t>Total Crashes</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MONTH</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5Yr Avg.</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2012</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2013</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2015</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2016</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January</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232</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230</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243</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254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229</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February</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238</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248</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214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251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215</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260</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292</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March</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267</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272</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257</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247</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286</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315</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April</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261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253</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223</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278</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268</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282</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344</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May</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269</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239</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249</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288</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299</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275</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June</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247</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246</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233</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245</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272</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293</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July</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276</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250</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261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292</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269</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308</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335</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August</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254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226</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245</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270</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283</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324</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September</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244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230</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246</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237</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227</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281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303</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October</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261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270</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235</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265</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251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282</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283</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November</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235</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200</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229</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247</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252</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248</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295</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December</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273</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256</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229</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290</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314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275</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Totals</w:t>
            </w:r>
          </w:p>
        </w:tc>
        <w:tc>
          <w:tcPr>
            <w:tcW w:w="165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3057</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2934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2820</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3086</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3115</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3329</w:t>
            </w:r>
          </w:p>
        </w:tc>
        <w:tc>
          <w:tcPr>
            <w:tcW w:w="933" w:type="dxa"/>
            <w:tcBorders>
              <w:top w:val="nil"/>
              <w:left w:val="nil"/>
              <w:bottom w:val="nil"/>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3563</w:t>
            </w:r>
          </w:p>
        </w:tc>
      </w:tr>
      <w:tr w:rsidR="00435B2C" w:rsidTr="00C51E85">
        <w:trPr>
          <w:trHeight w:val="284"/>
        </w:trPr>
        <w:tc>
          <w:tcPr>
            <w:tcW w:w="208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 of ∆</w:t>
            </w:r>
          </w:p>
        </w:tc>
        <w:tc>
          <w:tcPr>
            <w:tcW w:w="1653" w:type="dxa"/>
            <w:tcBorders>
              <w:top w:val="nil"/>
              <w:left w:val="nil"/>
              <w:bottom w:val="single" w:sz="4" w:space="0" w:color="auto"/>
              <w:right w:val="single" w:sz="4" w:space="0" w:color="auto"/>
            </w:tcBorders>
            <w:shd w:val="clear" w:color="000000" w:fill="000000"/>
            <w:noWrap/>
            <w:vAlign w:val="center"/>
            <w:hideMark/>
          </w:tcPr>
          <w:p w:rsidR="00435B2C" w:rsidRDefault="00435B2C" w:rsidP="00C51E85">
            <w:pPr>
              <w:jc w:val="center"/>
              <w:rPr>
                <w:rFonts w:ascii="Arial" w:hAnsi="Arial" w:cs="Arial"/>
                <w:sz w:val="20"/>
                <w:szCs w:val="20"/>
              </w:rPr>
            </w:pPr>
          </w:p>
        </w:tc>
        <w:tc>
          <w:tcPr>
            <w:tcW w:w="933" w:type="dxa"/>
            <w:tcBorders>
              <w:top w:val="nil"/>
              <w:left w:val="nil"/>
              <w:bottom w:val="single" w:sz="4" w:space="0" w:color="auto"/>
              <w:right w:val="single" w:sz="4" w:space="0" w:color="auto"/>
            </w:tcBorders>
            <w:shd w:val="clear" w:color="000000" w:fill="000000"/>
            <w:noWrap/>
            <w:vAlign w:val="center"/>
            <w:hideMark/>
          </w:tcPr>
          <w:p w:rsidR="00435B2C" w:rsidRDefault="00435B2C" w:rsidP="00C51E85">
            <w:pPr>
              <w:jc w:val="center"/>
              <w:rPr>
                <w:rFonts w:ascii="Arial" w:hAnsi="Arial" w:cs="Arial"/>
                <w:b/>
                <w:bCs/>
                <w:sz w:val="20"/>
                <w:szCs w:val="20"/>
              </w:rPr>
            </w:pP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-4%</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9%</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w:t>
            </w:r>
          </w:p>
        </w:tc>
        <w:tc>
          <w:tcPr>
            <w:tcW w:w="933"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7%</w:t>
            </w:r>
          </w:p>
        </w:tc>
        <w:tc>
          <w:tcPr>
            <w:tcW w:w="933" w:type="dxa"/>
            <w:tcBorders>
              <w:top w:val="single" w:sz="4" w:space="0" w:color="auto"/>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7%</w:t>
            </w:r>
          </w:p>
        </w:tc>
      </w:tr>
    </w:tbl>
    <w:p w:rsidR="00C51E85" w:rsidRDefault="00C51E85" w:rsidP="00CB17A3">
      <w:pPr>
        <w:ind w:right="-90"/>
      </w:pPr>
    </w:p>
    <w:p w:rsidR="00C51E85" w:rsidRDefault="00435B2C" w:rsidP="00CB17A3">
      <w:pPr>
        <w:ind w:right="-90"/>
      </w:pPr>
      <w:r>
        <w:rPr>
          <w:noProof/>
        </w:rPr>
        <w:drawing>
          <wp:inline distT="0" distB="0" distL="0" distR="0" wp14:anchorId="5F6F695E" wp14:editId="7AD58FAC">
            <wp:extent cx="5932714" cy="1611085"/>
            <wp:effectExtent l="0" t="0" r="11430" b="2730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B293E" w:rsidRDefault="00FB293E" w:rsidP="00355836"/>
    <w:p w:rsidR="00355836" w:rsidRDefault="00435B2C" w:rsidP="00355836">
      <w:r>
        <w:rPr>
          <w:noProof/>
        </w:rPr>
        <w:drawing>
          <wp:inline distT="0" distB="0" distL="0" distR="0" wp14:anchorId="5ACF6BAC" wp14:editId="2D94CAD2">
            <wp:extent cx="5943600" cy="2057400"/>
            <wp:effectExtent l="0" t="0" r="19050" b="1905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55836" w:rsidRDefault="00355836" w:rsidP="00355836">
      <w:pPr>
        <w:tabs>
          <w:tab w:val="left" w:pos="0"/>
        </w:tabs>
      </w:pPr>
    </w:p>
    <w:p w:rsidR="001F3E55" w:rsidRPr="00355836" w:rsidRDefault="001F3E55" w:rsidP="00355836">
      <w:pPr>
        <w:tabs>
          <w:tab w:val="left" w:pos="0"/>
        </w:tabs>
      </w:pPr>
      <w:r w:rsidRPr="00662509">
        <w:rPr>
          <w:b/>
          <w:i/>
          <w:sz w:val="28"/>
          <w:szCs w:val="28"/>
          <w:u w:val="single"/>
        </w:rPr>
        <w:lastRenderedPageBreak/>
        <w:t>Property Damage Only Crashes</w:t>
      </w:r>
      <w:r w:rsidR="00FE458F">
        <w:rPr>
          <w:b/>
          <w:i/>
          <w:sz w:val="28"/>
          <w:szCs w:val="28"/>
          <w:u w:val="single"/>
        </w:rPr>
        <w:t>:</w:t>
      </w:r>
    </w:p>
    <w:p w:rsidR="00C80CB3" w:rsidRDefault="00C80CB3" w:rsidP="001F3E55">
      <w:pPr>
        <w:rPr>
          <w:b/>
        </w:rPr>
      </w:pPr>
    </w:p>
    <w:p w:rsidR="001F3E55" w:rsidRDefault="00BF3AD1" w:rsidP="00134752">
      <w:pPr>
        <w:jc w:val="both"/>
      </w:pPr>
      <w:r>
        <w:tab/>
      </w:r>
      <w:r w:rsidR="00F20619">
        <w:t xml:space="preserve">Crashes </w:t>
      </w:r>
      <w:r w:rsidR="00FE458F">
        <w:t>involv</w:t>
      </w:r>
      <w:r w:rsidR="00A07F4E">
        <w:t>ing</w:t>
      </w:r>
      <w:r w:rsidR="00FE458F">
        <w:t xml:space="preserve"> property damage</w:t>
      </w:r>
      <w:r>
        <w:t xml:space="preserve"> </w:t>
      </w:r>
      <w:r w:rsidR="004B0C38">
        <w:t xml:space="preserve">only </w:t>
      </w:r>
      <w:r w:rsidR="00B1104E">
        <w:t>in</w:t>
      </w:r>
      <w:r w:rsidR="00D51C52">
        <w:t>creased</w:t>
      </w:r>
      <w:r>
        <w:t xml:space="preserve"> </w:t>
      </w:r>
      <w:r w:rsidR="009C3ACB">
        <w:rPr>
          <w:b/>
        </w:rPr>
        <w:t>9</w:t>
      </w:r>
      <w:r w:rsidRPr="0016605B">
        <w:rPr>
          <w:b/>
        </w:rPr>
        <w:t>%</w:t>
      </w:r>
      <w:r>
        <w:t xml:space="preserve"> compared to </w:t>
      </w:r>
      <w:r w:rsidR="009C3ACB">
        <w:t>2015</w:t>
      </w:r>
      <w:r w:rsidR="003E6745">
        <w:t xml:space="preserve"> </w:t>
      </w:r>
      <w:r w:rsidR="001D0E68">
        <w:t>and</w:t>
      </w:r>
      <w:r w:rsidR="00F20619">
        <w:t xml:space="preserve"> </w:t>
      </w:r>
      <w:r w:rsidR="001D0E68">
        <w:t>in</w:t>
      </w:r>
      <w:r w:rsidR="00F915E9">
        <w:t>creased</w:t>
      </w:r>
      <w:r>
        <w:t xml:space="preserve"> </w:t>
      </w:r>
      <w:r w:rsidR="009C3ACB">
        <w:t>1</w:t>
      </w:r>
      <w:r w:rsidR="00355836">
        <w:rPr>
          <w:b/>
        </w:rPr>
        <w:t>7</w:t>
      </w:r>
      <w:r w:rsidRPr="00A07F4E">
        <w:rPr>
          <w:b/>
        </w:rPr>
        <w:t>%</w:t>
      </w:r>
      <w:r>
        <w:t xml:space="preserve"> compared to the </w:t>
      </w:r>
      <w:r w:rsidR="00F20619">
        <w:t xml:space="preserve">previous </w:t>
      </w:r>
      <w:r>
        <w:t>five-year average.</w:t>
      </w:r>
    </w:p>
    <w:p w:rsidR="003E6745" w:rsidRDefault="003E6745" w:rsidP="001F3E55"/>
    <w:tbl>
      <w:tblPr>
        <w:tblW w:w="9391" w:type="dxa"/>
        <w:tblInd w:w="93" w:type="dxa"/>
        <w:tblLook w:val="04A0" w:firstRow="1" w:lastRow="0" w:firstColumn="1" w:lastColumn="0" w:noHBand="0" w:noVBand="1"/>
      </w:tblPr>
      <w:tblGrid>
        <w:gridCol w:w="2101"/>
        <w:gridCol w:w="1662"/>
        <w:gridCol w:w="938"/>
        <w:gridCol w:w="938"/>
        <w:gridCol w:w="938"/>
        <w:gridCol w:w="938"/>
        <w:gridCol w:w="938"/>
        <w:gridCol w:w="938"/>
      </w:tblGrid>
      <w:tr w:rsidR="00435B2C" w:rsidTr="00C51E85">
        <w:trPr>
          <w:trHeight w:val="299"/>
        </w:trPr>
        <w:tc>
          <w:tcPr>
            <w:tcW w:w="9390"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435B2C" w:rsidRDefault="00435B2C" w:rsidP="00C51E85">
            <w:pPr>
              <w:jc w:val="center"/>
              <w:rPr>
                <w:rFonts w:ascii="Arial" w:hAnsi="Arial" w:cs="Arial"/>
                <w:b/>
                <w:bCs/>
                <w:sz w:val="28"/>
                <w:szCs w:val="28"/>
              </w:rPr>
            </w:pPr>
            <w:r>
              <w:rPr>
                <w:rFonts w:ascii="Arial" w:hAnsi="Arial" w:cs="Arial"/>
                <w:b/>
                <w:bCs/>
                <w:sz w:val="28"/>
                <w:szCs w:val="28"/>
              </w:rPr>
              <w:t>Property Damage Only Crashes</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MONTH</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5Yr Avg.</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2011</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2012</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2014</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2015</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2016</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January</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158</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123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160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163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166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160</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February</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166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169</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149</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150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202</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March</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188</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175</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184</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178</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206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195</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216</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April</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183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172</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145</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203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191</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206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237</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May</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187</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171</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205</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210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177</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192</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June</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174</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177</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158</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162</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182</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191</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205</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July</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197</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184</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184</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211</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198</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206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239</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August</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175</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148</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166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232</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September</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169</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153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177</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167</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165</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183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215</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October</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180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180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177</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198</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200</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November</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165</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136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159</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178</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180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170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214</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December</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186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195</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213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229</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sz w:val="20"/>
                <w:szCs w:val="20"/>
              </w:rPr>
            </w:pPr>
            <w:r>
              <w:rPr>
                <w:rFonts w:ascii="Arial" w:hAnsi="Arial" w:cs="Arial"/>
                <w:sz w:val="20"/>
                <w:szCs w:val="20"/>
              </w:rPr>
              <w:t>196</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Totals</w:t>
            </w:r>
          </w:p>
        </w:tc>
        <w:tc>
          <w:tcPr>
            <w:tcW w:w="1662"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2143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2026</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1984</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2180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2224</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2301</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2508</w:t>
            </w:r>
          </w:p>
        </w:tc>
      </w:tr>
      <w:tr w:rsidR="00435B2C" w:rsidTr="00C51E85">
        <w:trPr>
          <w:trHeight w:val="299"/>
        </w:trPr>
        <w:tc>
          <w:tcPr>
            <w:tcW w:w="2101"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 of ∆</w:t>
            </w:r>
          </w:p>
        </w:tc>
        <w:tc>
          <w:tcPr>
            <w:tcW w:w="1662" w:type="dxa"/>
            <w:tcBorders>
              <w:top w:val="nil"/>
              <w:left w:val="nil"/>
              <w:bottom w:val="single" w:sz="4" w:space="0" w:color="auto"/>
              <w:right w:val="single" w:sz="4" w:space="0" w:color="auto"/>
            </w:tcBorders>
            <w:shd w:val="clear" w:color="000000" w:fill="000000"/>
            <w:noWrap/>
            <w:vAlign w:val="center"/>
            <w:hideMark/>
          </w:tcPr>
          <w:p w:rsidR="00435B2C" w:rsidRDefault="00435B2C" w:rsidP="00C51E85">
            <w:pPr>
              <w:jc w:val="center"/>
              <w:rPr>
                <w:rFonts w:ascii="Arial" w:hAnsi="Arial" w:cs="Arial"/>
                <w:sz w:val="20"/>
                <w:szCs w:val="20"/>
              </w:rPr>
            </w:pPr>
          </w:p>
        </w:tc>
        <w:tc>
          <w:tcPr>
            <w:tcW w:w="938" w:type="dxa"/>
            <w:tcBorders>
              <w:top w:val="nil"/>
              <w:left w:val="nil"/>
              <w:bottom w:val="single" w:sz="4" w:space="0" w:color="auto"/>
              <w:right w:val="single" w:sz="4" w:space="0" w:color="auto"/>
            </w:tcBorders>
            <w:shd w:val="clear" w:color="000000" w:fill="000000"/>
            <w:noWrap/>
            <w:vAlign w:val="center"/>
            <w:hideMark/>
          </w:tcPr>
          <w:p w:rsidR="00435B2C" w:rsidRDefault="00435B2C" w:rsidP="00C51E85">
            <w:pPr>
              <w:jc w:val="center"/>
              <w:rPr>
                <w:rFonts w:ascii="Arial" w:hAnsi="Arial" w:cs="Arial"/>
                <w:b/>
                <w:bCs/>
                <w:sz w:val="20"/>
                <w:szCs w:val="20"/>
              </w:rPr>
            </w:pP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10%</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2%</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3%</w:t>
            </w:r>
          </w:p>
        </w:tc>
        <w:tc>
          <w:tcPr>
            <w:tcW w:w="938" w:type="dxa"/>
            <w:tcBorders>
              <w:top w:val="nil"/>
              <w:left w:val="nil"/>
              <w:bottom w:val="single" w:sz="4" w:space="0" w:color="auto"/>
              <w:right w:val="single" w:sz="4" w:space="0" w:color="auto"/>
            </w:tcBorders>
            <w:shd w:val="clear" w:color="auto" w:fill="auto"/>
            <w:noWrap/>
            <w:vAlign w:val="center"/>
            <w:hideMark/>
          </w:tcPr>
          <w:p w:rsidR="00435B2C" w:rsidRDefault="00435B2C" w:rsidP="00C51E85">
            <w:pPr>
              <w:jc w:val="center"/>
              <w:rPr>
                <w:rFonts w:ascii="Arial" w:hAnsi="Arial" w:cs="Arial"/>
                <w:b/>
                <w:bCs/>
                <w:sz w:val="20"/>
                <w:szCs w:val="20"/>
              </w:rPr>
            </w:pPr>
            <w:r>
              <w:rPr>
                <w:rFonts w:ascii="Arial" w:hAnsi="Arial" w:cs="Arial"/>
                <w:b/>
                <w:bCs/>
                <w:sz w:val="20"/>
                <w:szCs w:val="20"/>
              </w:rPr>
              <w:t>9%</w:t>
            </w:r>
          </w:p>
        </w:tc>
      </w:tr>
    </w:tbl>
    <w:p w:rsidR="00134752" w:rsidRDefault="00134752" w:rsidP="001F3E55"/>
    <w:p w:rsidR="00C51E85" w:rsidRDefault="00C51E85" w:rsidP="001F3E55"/>
    <w:p w:rsidR="005A102D" w:rsidRDefault="005A102D" w:rsidP="001F3E55"/>
    <w:p w:rsidR="00134752" w:rsidRDefault="00435B2C" w:rsidP="001F3E55">
      <w:r>
        <w:rPr>
          <w:noProof/>
        </w:rPr>
        <w:drawing>
          <wp:inline distT="0" distB="0" distL="0" distR="0" wp14:anchorId="294163D3" wp14:editId="1785BFFD">
            <wp:extent cx="5921829" cy="3167743"/>
            <wp:effectExtent l="0" t="0" r="22225" b="1397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A102D" w:rsidRDefault="005A102D" w:rsidP="00302C52"/>
    <w:p w:rsidR="00B1104E" w:rsidRDefault="00B1104E" w:rsidP="00302C52"/>
    <w:p w:rsidR="001F3E55" w:rsidRPr="00302C52" w:rsidRDefault="001F3E55" w:rsidP="00302C52">
      <w:r w:rsidRPr="0090040F">
        <w:rPr>
          <w:b/>
          <w:i/>
          <w:sz w:val="28"/>
          <w:szCs w:val="28"/>
          <w:u w:val="single"/>
        </w:rPr>
        <w:lastRenderedPageBreak/>
        <w:t>Crashes with Injuries</w:t>
      </w:r>
      <w:r w:rsidR="004D42B5">
        <w:rPr>
          <w:b/>
          <w:i/>
          <w:sz w:val="28"/>
          <w:szCs w:val="28"/>
          <w:u w:val="single"/>
        </w:rPr>
        <w:t>:</w:t>
      </w:r>
    </w:p>
    <w:p w:rsidR="00C43882" w:rsidRDefault="00C43882" w:rsidP="001F3E55">
      <w:pPr>
        <w:rPr>
          <w:b/>
          <w:i/>
          <w:sz w:val="28"/>
          <w:szCs w:val="28"/>
          <w:u w:val="single"/>
        </w:rPr>
      </w:pPr>
    </w:p>
    <w:p w:rsidR="00D86486" w:rsidRDefault="00BF3AD1" w:rsidP="00134752">
      <w:pPr>
        <w:ind w:firstLine="720"/>
        <w:jc w:val="both"/>
      </w:pPr>
      <w:r>
        <w:t>Crashes involv</w:t>
      </w:r>
      <w:r w:rsidR="004D42B5">
        <w:t>ing</w:t>
      </w:r>
      <w:r>
        <w:t xml:space="preserve"> injuries </w:t>
      </w:r>
      <w:r w:rsidR="00E22A16">
        <w:t>in</w:t>
      </w:r>
      <w:r w:rsidR="0016605B">
        <w:t>creased</w:t>
      </w:r>
      <w:r>
        <w:t xml:space="preserve"> </w:t>
      </w:r>
      <w:r w:rsidR="009C3ACB">
        <w:rPr>
          <w:b/>
        </w:rPr>
        <w:t>3</w:t>
      </w:r>
      <w:r w:rsidRPr="0016605B">
        <w:rPr>
          <w:b/>
        </w:rPr>
        <w:t>%</w:t>
      </w:r>
      <w:r>
        <w:t xml:space="preserve"> </w:t>
      </w:r>
      <w:r w:rsidR="00547E3F">
        <w:t xml:space="preserve">during </w:t>
      </w:r>
      <w:r w:rsidR="00FE458F">
        <w:t>20</w:t>
      </w:r>
      <w:r w:rsidR="0016605B">
        <w:t>1</w:t>
      </w:r>
      <w:r w:rsidR="009C3ACB">
        <w:t>6</w:t>
      </w:r>
      <w:r w:rsidR="00FE458F">
        <w:t xml:space="preserve"> </w:t>
      </w:r>
      <w:r w:rsidR="00302C52">
        <w:t xml:space="preserve">when </w:t>
      </w:r>
      <w:r>
        <w:t xml:space="preserve">compared to </w:t>
      </w:r>
      <w:r w:rsidR="009C3ACB">
        <w:t>2015</w:t>
      </w:r>
      <w:r w:rsidR="001D0E68">
        <w:t xml:space="preserve"> and also</w:t>
      </w:r>
      <w:r w:rsidR="00C80CB3">
        <w:t xml:space="preserve"> </w:t>
      </w:r>
      <w:r w:rsidR="00E22A16">
        <w:t>inc</w:t>
      </w:r>
      <w:r w:rsidR="00FE458F">
        <w:t xml:space="preserve">reased </w:t>
      </w:r>
      <w:r w:rsidR="00E22A16">
        <w:rPr>
          <w:b/>
        </w:rPr>
        <w:t>14</w:t>
      </w:r>
      <w:r w:rsidRPr="00C80CB3">
        <w:rPr>
          <w:b/>
        </w:rPr>
        <w:t>%</w:t>
      </w:r>
      <w:r w:rsidR="00855F99">
        <w:t xml:space="preserve"> comparing</w:t>
      </w:r>
      <w:r>
        <w:t xml:space="preserve"> to the </w:t>
      </w:r>
      <w:r w:rsidR="00CB519F">
        <w:t xml:space="preserve">previous </w:t>
      </w:r>
      <w:r>
        <w:t>five-year average.</w:t>
      </w:r>
    </w:p>
    <w:p w:rsidR="00C842CE" w:rsidRDefault="00C842CE" w:rsidP="000F2074"/>
    <w:tbl>
      <w:tblPr>
        <w:tblW w:w="9480" w:type="dxa"/>
        <w:tblInd w:w="93" w:type="dxa"/>
        <w:tblLook w:val="04A0" w:firstRow="1" w:lastRow="0" w:firstColumn="1" w:lastColumn="0" w:noHBand="0" w:noVBand="1"/>
      </w:tblPr>
      <w:tblGrid>
        <w:gridCol w:w="2120"/>
        <w:gridCol w:w="1678"/>
        <w:gridCol w:w="947"/>
        <w:gridCol w:w="947"/>
        <w:gridCol w:w="947"/>
        <w:gridCol w:w="947"/>
        <w:gridCol w:w="947"/>
        <w:gridCol w:w="947"/>
      </w:tblGrid>
      <w:tr w:rsidR="00435B2C" w:rsidTr="00C51E85">
        <w:trPr>
          <w:trHeight w:val="411"/>
        </w:trPr>
        <w:tc>
          <w:tcPr>
            <w:tcW w:w="9477" w:type="dxa"/>
            <w:gridSpan w:val="8"/>
            <w:tcBorders>
              <w:top w:val="single" w:sz="4" w:space="0" w:color="auto"/>
              <w:left w:val="single" w:sz="4" w:space="0" w:color="auto"/>
              <w:bottom w:val="single" w:sz="4" w:space="0" w:color="auto"/>
              <w:right w:val="single" w:sz="4" w:space="0" w:color="000000"/>
            </w:tcBorders>
            <w:shd w:val="clear" w:color="000000" w:fill="C4BD97"/>
            <w:noWrap/>
            <w:vAlign w:val="bottom"/>
            <w:hideMark/>
          </w:tcPr>
          <w:p w:rsidR="00435B2C" w:rsidRDefault="00435B2C">
            <w:pPr>
              <w:jc w:val="center"/>
              <w:rPr>
                <w:rFonts w:ascii="Arial" w:hAnsi="Arial" w:cs="Arial"/>
                <w:b/>
                <w:bCs/>
                <w:sz w:val="28"/>
                <w:szCs w:val="28"/>
              </w:rPr>
            </w:pPr>
            <w:r>
              <w:rPr>
                <w:rFonts w:ascii="Arial" w:hAnsi="Arial" w:cs="Arial"/>
                <w:b/>
                <w:bCs/>
                <w:sz w:val="28"/>
                <w:szCs w:val="28"/>
              </w:rPr>
              <w:t xml:space="preserve">  Crashes with Injuries</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MONTH</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5Yr Avg.</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2011</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2012</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b/>
                <w:bCs/>
                <w:sz w:val="20"/>
                <w:szCs w:val="20"/>
              </w:rPr>
            </w:pPr>
            <w:r>
              <w:rPr>
                <w:rFonts w:ascii="Arial" w:hAnsi="Arial" w:cs="Arial"/>
                <w:b/>
                <w:bCs/>
                <w:sz w:val="20"/>
                <w:szCs w:val="20"/>
              </w:rPr>
              <w:t>2013</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b/>
                <w:bCs/>
                <w:sz w:val="20"/>
                <w:szCs w:val="20"/>
              </w:rPr>
            </w:pPr>
            <w:r>
              <w:rPr>
                <w:rFonts w:ascii="Arial" w:hAnsi="Arial" w:cs="Arial"/>
                <w:b/>
                <w:bCs/>
                <w:sz w:val="20"/>
                <w:szCs w:val="20"/>
              </w:rPr>
              <w:t>2014</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b/>
                <w:bCs/>
                <w:sz w:val="20"/>
                <w:szCs w:val="20"/>
              </w:rPr>
            </w:pPr>
            <w:r>
              <w:rPr>
                <w:rFonts w:ascii="Arial" w:hAnsi="Arial" w:cs="Arial"/>
                <w:b/>
                <w:bCs/>
                <w:sz w:val="20"/>
                <w:szCs w:val="20"/>
              </w:rPr>
              <w:t>2015</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b/>
                <w:bCs/>
                <w:sz w:val="20"/>
                <w:szCs w:val="20"/>
              </w:rPr>
            </w:pPr>
            <w:r>
              <w:rPr>
                <w:rFonts w:ascii="Arial" w:hAnsi="Arial" w:cs="Arial"/>
                <w:b/>
                <w:bCs/>
                <w:sz w:val="20"/>
                <w:szCs w:val="20"/>
              </w:rPr>
              <w:t>2016</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January</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73</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67</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64</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69</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87</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68</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February</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73</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64</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80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65</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69</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90</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March</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93</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73</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69</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76</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98</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April</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77</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78</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75</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76</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76</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106</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May</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82</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69</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78</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83</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94</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83</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June</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73</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69</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83</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71</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63</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81</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88</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July</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79</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65</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77</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81</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100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95</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August</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79</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79</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68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77</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93</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91</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September</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75</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76</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67</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70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62</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98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87</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October</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80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62</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87</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84</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82</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November</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64</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69</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69</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71</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77</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80</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December</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79</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68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88</w:t>
            </w:r>
          </w:p>
        </w:tc>
        <w:tc>
          <w:tcPr>
            <w:tcW w:w="947" w:type="dxa"/>
            <w:tcBorders>
              <w:top w:val="nil"/>
              <w:left w:val="nil"/>
              <w:bottom w:val="single" w:sz="4" w:space="0" w:color="auto"/>
              <w:right w:val="single" w:sz="4" w:space="0" w:color="auto"/>
            </w:tcBorders>
            <w:shd w:val="clear" w:color="auto" w:fill="auto"/>
            <w:noWrap/>
            <w:vAlign w:val="center"/>
            <w:hideMark/>
          </w:tcPr>
          <w:p w:rsidR="00435B2C" w:rsidRDefault="00435B2C">
            <w:pPr>
              <w:jc w:val="center"/>
              <w:rPr>
                <w:rFonts w:ascii="Arial" w:hAnsi="Arial" w:cs="Arial"/>
                <w:sz w:val="20"/>
                <w:szCs w:val="20"/>
              </w:rPr>
            </w:pPr>
            <w:r>
              <w:rPr>
                <w:rFonts w:ascii="Arial" w:hAnsi="Arial" w:cs="Arial"/>
                <w:sz w:val="20"/>
                <w:szCs w:val="20"/>
              </w:rPr>
              <w:t>80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76</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85</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sz w:val="20"/>
                <w:szCs w:val="20"/>
              </w:rPr>
            </w:pPr>
            <w:r>
              <w:rPr>
                <w:rFonts w:ascii="Arial" w:hAnsi="Arial" w:cs="Arial"/>
                <w:sz w:val="20"/>
                <w:szCs w:val="20"/>
              </w:rPr>
              <w:t>79</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Totals</w:t>
            </w:r>
          </w:p>
        </w:tc>
        <w:tc>
          <w:tcPr>
            <w:tcW w:w="1678"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916</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888</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882</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902</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886</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1020</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1047</w:t>
            </w:r>
          </w:p>
        </w:tc>
      </w:tr>
      <w:tr w:rsidR="00435B2C" w:rsidTr="00C51E85">
        <w:trPr>
          <w:trHeight w:val="291"/>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rsidR="00435B2C" w:rsidRDefault="00435B2C">
            <w:pPr>
              <w:rPr>
                <w:rFonts w:ascii="Arial" w:hAnsi="Arial" w:cs="Arial"/>
                <w:b/>
                <w:bCs/>
                <w:sz w:val="20"/>
                <w:szCs w:val="20"/>
              </w:rPr>
            </w:pPr>
            <w:r>
              <w:rPr>
                <w:rFonts w:ascii="Arial" w:hAnsi="Arial" w:cs="Arial"/>
                <w:b/>
                <w:bCs/>
                <w:sz w:val="20"/>
                <w:szCs w:val="20"/>
              </w:rPr>
              <w:t>% of ∆</w:t>
            </w:r>
          </w:p>
        </w:tc>
        <w:tc>
          <w:tcPr>
            <w:tcW w:w="1678" w:type="dxa"/>
            <w:tcBorders>
              <w:top w:val="nil"/>
              <w:left w:val="nil"/>
              <w:bottom w:val="single" w:sz="4" w:space="0" w:color="auto"/>
              <w:right w:val="single" w:sz="4" w:space="0" w:color="auto"/>
            </w:tcBorders>
            <w:shd w:val="clear" w:color="000000" w:fill="000000"/>
            <w:noWrap/>
            <w:vAlign w:val="bottom"/>
            <w:hideMark/>
          </w:tcPr>
          <w:p w:rsidR="00435B2C" w:rsidRDefault="00435B2C">
            <w:pPr>
              <w:rPr>
                <w:rFonts w:ascii="Arial" w:hAnsi="Arial" w:cs="Arial"/>
                <w:sz w:val="20"/>
                <w:szCs w:val="20"/>
              </w:rPr>
            </w:pPr>
            <w:r>
              <w:rPr>
                <w:rFonts w:ascii="Arial" w:hAnsi="Arial" w:cs="Arial"/>
                <w:sz w:val="20"/>
                <w:szCs w:val="20"/>
              </w:rPr>
              <w:t> </w:t>
            </w:r>
          </w:p>
        </w:tc>
        <w:tc>
          <w:tcPr>
            <w:tcW w:w="947" w:type="dxa"/>
            <w:tcBorders>
              <w:top w:val="nil"/>
              <w:left w:val="nil"/>
              <w:bottom w:val="single" w:sz="4" w:space="0" w:color="auto"/>
              <w:right w:val="single" w:sz="4" w:space="0" w:color="auto"/>
            </w:tcBorders>
            <w:shd w:val="clear" w:color="000000" w:fill="000000"/>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 </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-1%</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2%</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-2%</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15%</w:t>
            </w:r>
          </w:p>
        </w:tc>
        <w:tc>
          <w:tcPr>
            <w:tcW w:w="947" w:type="dxa"/>
            <w:tcBorders>
              <w:top w:val="nil"/>
              <w:left w:val="nil"/>
              <w:bottom w:val="single" w:sz="4" w:space="0" w:color="auto"/>
              <w:right w:val="single" w:sz="4" w:space="0" w:color="auto"/>
            </w:tcBorders>
            <w:shd w:val="clear" w:color="auto" w:fill="auto"/>
            <w:noWrap/>
            <w:vAlign w:val="bottom"/>
            <w:hideMark/>
          </w:tcPr>
          <w:p w:rsidR="00435B2C" w:rsidRDefault="00435B2C">
            <w:pPr>
              <w:jc w:val="center"/>
              <w:rPr>
                <w:rFonts w:ascii="Arial" w:hAnsi="Arial" w:cs="Arial"/>
                <w:b/>
                <w:bCs/>
                <w:sz w:val="20"/>
                <w:szCs w:val="20"/>
              </w:rPr>
            </w:pPr>
            <w:r>
              <w:rPr>
                <w:rFonts w:ascii="Arial" w:hAnsi="Arial" w:cs="Arial"/>
                <w:b/>
                <w:bCs/>
                <w:sz w:val="20"/>
                <w:szCs w:val="20"/>
              </w:rPr>
              <w:t>3%</w:t>
            </w:r>
          </w:p>
        </w:tc>
      </w:tr>
    </w:tbl>
    <w:p w:rsidR="000F2074" w:rsidRDefault="000F2074" w:rsidP="000F2074"/>
    <w:p w:rsidR="00C51E85" w:rsidRDefault="00C51E85" w:rsidP="000F2074"/>
    <w:p w:rsidR="00C51E85" w:rsidRDefault="00C51E85" w:rsidP="000F2074"/>
    <w:p w:rsidR="00134752" w:rsidRDefault="00435B2C" w:rsidP="00E22A16">
      <w:r>
        <w:rPr>
          <w:noProof/>
        </w:rPr>
        <w:drawing>
          <wp:inline distT="0" distB="0" distL="0" distR="0" wp14:anchorId="26503992" wp14:editId="71E79A06">
            <wp:extent cx="6024282" cy="3092824"/>
            <wp:effectExtent l="0" t="0" r="14605" b="1270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22A16" w:rsidRDefault="00E22A16" w:rsidP="00E22A16"/>
    <w:p w:rsidR="00C51E85" w:rsidRDefault="00C51E85" w:rsidP="00AE3572">
      <w:pPr>
        <w:outlineLvl w:val="0"/>
      </w:pPr>
    </w:p>
    <w:p w:rsidR="001F3E55" w:rsidRPr="0090040F" w:rsidRDefault="001F3E55" w:rsidP="00AE3572">
      <w:pPr>
        <w:outlineLvl w:val="0"/>
        <w:rPr>
          <w:b/>
          <w:i/>
          <w:sz w:val="28"/>
          <w:szCs w:val="28"/>
          <w:u w:val="single"/>
        </w:rPr>
      </w:pPr>
      <w:r w:rsidRPr="0090040F">
        <w:rPr>
          <w:b/>
          <w:i/>
          <w:sz w:val="28"/>
          <w:szCs w:val="28"/>
          <w:u w:val="single"/>
        </w:rPr>
        <w:lastRenderedPageBreak/>
        <w:t>Fatality Crashes</w:t>
      </w:r>
      <w:r w:rsidR="00C842CE">
        <w:rPr>
          <w:b/>
          <w:i/>
          <w:sz w:val="28"/>
          <w:szCs w:val="28"/>
          <w:u w:val="single"/>
        </w:rPr>
        <w:t>:</w:t>
      </w:r>
    </w:p>
    <w:p w:rsidR="0090040F" w:rsidRDefault="00BF3AD1" w:rsidP="001F3E55">
      <w:pPr>
        <w:rPr>
          <w:b/>
        </w:rPr>
      </w:pPr>
      <w:r>
        <w:rPr>
          <w:b/>
        </w:rPr>
        <w:tab/>
      </w:r>
    </w:p>
    <w:p w:rsidR="001F3E55" w:rsidRDefault="0027001D" w:rsidP="00134752">
      <w:pPr>
        <w:ind w:firstLine="720"/>
        <w:jc w:val="both"/>
      </w:pPr>
      <w:r>
        <w:t xml:space="preserve">In comparison of 2016 to 2015 for fatal traffic crashes there was no change.  Both years had eight (8) fatal crashes.  </w:t>
      </w:r>
      <w:r w:rsidR="00855F99">
        <w:t xml:space="preserve"> </w:t>
      </w:r>
      <w:r w:rsidR="00817703">
        <w:t>The previous five year average also had eight (8) which again had no change</w:t>
      </w:r>
      <w:r w:rsidR="00BF3AD1">
        <w:t>.</w:t>
      </w:r>
    </w:p>
    <w:p w:rsidR="004849D6" w:rsidRDefault="004849D6" w:rsidP="001F3E55"/>
    <w:tbl>
      <w:tblPr>
        <w:tblW w:w="9420" w:type="dxa"/>
        <w:tblInd w:w="93" w:type="dxa"/>
        <w:tblLook w:val="04A0" w:firstRow="1" w:lastRow="0" w:firstColumn="1" w:lastColumn="0" w:noHBand="0" w:noVBand="1"/>
      </w:tblPr>
      <w:tblGrid>
        <w:gridCol w:w="2098"/>
        <w:gridCol w:w="1660"/>
        <w:gridCol w:w="936"/>
        <w:gridCol w:w="979"/>
        <w:gridCol w:w="936"/>
        <w:gridCol w:w="936"/>
        <w:gridCol w:w="936"/>
        <w:gridCol w:w="939"/>
      </w:tblGrid>
      <w:tr w:rsidR="00435B2C" w:rsidTr="00A23F9C">
        <w:trPr>
          <w:trHeight w:val="287"/>
        </w:trPr>
        <w:tc>
          <w:tcPr>
            <w:tcW w:w="9420"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435B2C" w:rsidRDefault="00435B2C" w:rsidP="007703DC">
            <w:pPr>
              <w:jc w:val="center"/>
              <w:rPr>
                <w:rFonts w:ascii="Arial" w:hAnsi="Arial" w:cs="Arial"/>
                <w:b/>
                <w:bCs/>
                <w:sz w:val="28"/>
                <w:szCs w:val="28"/>
              </w:rPr>
            </w:pPr>
            <w:r>
              <w:rPr>
                <w:rFonts w:ascii="Arial" w:hAnsi="Arial" w:cs="Arial"/>
                <w:b/>
                <w:bCs/>
                <w:sz w:val="28"/>
                <w:szCs w:val="28"/>
              </w:rPr>
              <w:t>Crashes with Fatalities</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MONTH</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5Yr Avg.</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2011</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2012</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2013</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2014</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2015</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2016</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January</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February</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2</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6</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March</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4</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3</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April</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3</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May</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June</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July</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2</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August</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September</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2</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October</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2</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November</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December</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2</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1</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sz w:val="20"/>
                <w:szCs w:val="20"/>
              </w:rPr>
            </w:pPr>
            <w:r>
              <w:rPr>
                <w:rFonts w:ascii="Arial" w:hAnsi="Arial" w:cs="Arial"/>
                <w:sz w:val="20"/>
                <w:szCs w:val="20"/>
              </w:rPr>
              <w:t>0</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Totals</w:t>
            </w:r>
          </w:p>
        </w:tc>
        <w:tc>
          <w:tcPr>
            <w:tcW w:w="1660"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8</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20</w:t>
            </w: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3</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4</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5</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8</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8</w:t>
            </w:r>
          </w:p>
        </w:tc>
      </w:tr>
      <w:tr w:rsidR="00435B2C" w:rsidTr="00A23F9C">
        <w:trPr>
          <w:trHeight w:val="287"/>
        </w:trPr>
        <w:tc>
          <w:tcPr>
            <w:tcW w:w="2098"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 of ∆</w:t>
            </w:r>
          </w:p>
        </w:tc>
        <w:tc>
          <w:tcPr>
            <w:tcW w:w="1660" w:type="dxa"/>
            <w:tcBorders>
              <w:top w:val="nil"/>
              <w:left w:val="nil"/>
              <w:bottom w:val="single" w:sz="4" w:space="0" w:color="auto"/>
              <w:right w:val="single" w:sz="4" w:space="0" w:color="auto"/>
            </w:tcBorders>
            <w:shd w:val="clear" w:color="000000" w:fill="000000"/>
            <w:noWrap/>
            <w:vAlign w:val="center"/>
            <w:hideMark/>
          </w:tcPr>
          <w:p w:rsidR="00435B2C" w:rsidRDefault="00435B2C" w:rsidP="007703DC">
            <w:pPr>
              <w:jc w:val="center"/>
              <w:rPr>
                <w:rFonts w:ascii="Arial" w:hAnsi="Arial" w:cs="Arial"/>
                <w:sz w:val="20"/>
                <w:szCs w:val="20"/>
              </w:rPr>
            </w:pPr>
          </w:p>
        </w:tc>
        <w:tc>
          <w:tcPr>
            <w:tcW w:w="936" w:type="dxa"/>
            <w:tcBorders>
              <w:top w:val="nil"/>
              <w:left w:val="nil"/>
              <w:bottom w:val="single" w:sz="4" w:space="0" w:color="auto"/>
              <w:right w:val="single" w:sz="4" w:space="0" w:color="auto"/>
            </w:tcBorders>
            <w:shd w:val="clear" w:color="000000" w:fill="000000"/>
            <w:noWrap/>
            <w:vAlign w:val="center"/>
            <w:hideMark/>
          </w:tcPr>
          <w:p w:rsidR="00435B2C" w:rsidRDefault="00435B2C" w:rsidP="007703DC">
            <w:pPr>
              <w:jc w:val="center"/>
              <w:rPr>
                <w:rFonts w:ascii="Arial" w:hAnsi="Arial" w:cs="Arial"/>
                <w:b/>
                <w:bCs/>
                <w:sz w:val="20"/>
                <w:szCs w:val="20"/>
              </w:rPr>
            </w:pPr>
          </w:p>
        </w:tc>
        <w:tc>
          <w:tcPr>
            <w:tcW w:w="979"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-85%</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33%</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25%</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60%</w:t>
            </w:r>
          </w:p>
        </w:tc>
        <w:tc>
          <w:tcPr>
            <w:tcW w:w="936" w:type="dxa"/>
            <w:tcBorders>
              <w:top w:val="nil"/>
              <w:left w:val="nil"/>
              <w:bottom w:val="single" w:sz="4" w:space="0" w:color="auto"/>
              <w:right w:val="single" w:sz="4" w:space="0" w:color="auto"/>
            </w:tcBorders>
            <w:shd w:val="clear" w:color="auto" w:fill="auto"/>
            <w:noWrap/>
            <w:vAlign w:val="center"/>
            <w:hideMark/>
          </w:tcPr>
          <w:p w:rsidR="00435B2C" w:rsidRDefault="00435B2C" w:rsidP="007703DC">
            <w:pPr>
              <w:jc w:val="center"/>
              <w:rPr>
                <w:rFonts w:ascii="Arial" w:hAnsi="Arial" w:cs="Arial"/>
                <w:b/>
                <w:bCs/>
                <w:sz w:val="20"/>
                <w:szCs w:val="20"/>
              </w:rPr>
            </w:pPr>
            <w:r>
              <w:rPr>
                <w:rFonts w:ascii="Arial" w:hAnsi="Arial" w:cs="Arial"/>
                <w:b/>
                <w:bCs/>
                <w:sz w:val="20"/>
                <w:szCs w:val="20"/>
              </w:rPr>
              <w:t>0%</w:t>
            </w:r>
          </w:p>
        </w:tc>
      </w:tr>
    </w:tbl>
    <w:p w:rsidR="00D92134" w:rsidRDefault="00D92134" w:rsidP="00FB293E">
      <w:pPr>
        <w:rPr>
          <w:b/>
        </w:rPr>
      </w:pPr>
    </w:p>
    <w:p w:rsidR="00855F99" w:rsidRDefault="00855F99" w:rsidP="00831A0C">
      <w:pPr>
        <w:jc w:val="center"/>
        <w:rPr>
          <w:b/>
        </w:rPr>
      </w:pPr>
    </w:p>
    <w:p w:rsidR="00537556" w:rsidRDefault="00537556" w:rsidP="00AE3572">
      <w:pPr>
        <w:outlineLvl w:val="0"/>
        <w:rPr>
          <w:b/>
          <w:i/>
          <w:sz w:val="28"/>
          <w:szCs w:val="28"/>
          <w:u w:val="single"/>
        </w:rPr>
      </w:pPr>
    </w:p>
    <w:p w:rsidR="00537556" w:rsidRDefault="00435B2C" w:rsidP="00AE3572">
      <w:pPr>
        <w:outlineLvl w:val="0"/>
        <w:rPr>
          <w:b/>
          <w:i/>
          <w:sz w:val="28"/>
          <w:szCs w:val="28"/>
          <w:u w:val="single"/>
        </w:rPr>
      </w:pPr>
      <w:r>
        <w:rPr>
          <w:noProof/>
        </w:rPr>
        <w:drawing>
          <wp:inline distT="0" distB="0" distL="0" distR="0" wp14:anchorId="35BC89A1" wp14:editId="09899C77">
            <wp:extent cx="5970494" cy="3254188"/>
            <wp:effectExtent l="0" t="0" r="11430" b="2286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17703" w:rsidRDefault="00817703" w:rsidP="00AE3572">
      <w:pPr>
        <w:outlineLvl w:val="0"/>
        <w:rPr>
          <w:b/>
          <w:i/>
          <w:sz w:val="28"/>
          <w:szCs w:val="28"/>
          <w:u w:val="single"/>
        </w:rPr>
      </w:pPr>
    </w:p>
    <w:p w:rsidR="00104599" w:rsidRPr="0090040F" w:rsidRDefault="00104599" w:rsidP="00AE3572">
      <w:pPr>
        <w:outlineLvl w:val="0"/>
        <w:rPr>
          <w:b/>
          <w:i/>
          <w:sz w:val="28"/>
          <w:szCs w:val="28"/>
          <w:u w:val="single"/>
        </w:rPr>
      </w:pPr>
      <w:r w:rsidRPr="0090040F">
        <w:rPr>
          <w:b/>
          <w:i/>
          <w:sz w:val="28"/>
          <w:szCs w:val="28"/>
          <w:u w:val="single"/>
        </w:rPr>
        <w:lastRenderedPageBreak/>
        <w:t>Citations</w:t>
      </w:r>
      <w:r w:rsidR="00C842CE">
        <w:rPr>
          <w:b/>
          <w:i/>
          <w:sz w:val="28"/>
          <w:szCs w:val="28"/>
          <w:u w:val="single"/>
        </w:rPr>
        <w:t>:</w:t>
      </w:r>
    </w:p>
    <w:p w:rsidR="0090040F" w:rsidRDefault="00BF3AD1" w:rsidP="00104599">
      <w:pPr>
        <w:rPr>
          <w:b/>
        </w:rPr>
      </w:pPr>
      <w:r>
        <w:rPr>
          <w:b/>
        </w:rPr>
        <w:tab/>
      </w:r>
    </w:p>
    <w:p w:rsidR="00BF3AD1" w:rsidRDefault="00BF3AD1" w:rsidP="00BC4C8B">
      <w:pPr>
        <w:ind w:firstLine="720"/>
        <w:jc w:val="both"/>
      </w:pPr>
      <w:r>
        <w:t xml:space="preserve">Officer initiated citations </w:t>
      </w:r>
      <w:r w:rsidR="00817703">
        <w:t>in</w:t>
      </w:r>
      <w:r w:rsidR="008352EE">
        <w:t>creased</w:t>
      </w:r>
      <w:r w:rsidR="00576E7F">
        <w:t xml:space="preserve"> </w:t>
      </w:r>
      <w:r w:rsidR="00817703">
        <w:rPr>
          <w:b/>
        </w:rPr>
        <w:t>1</w:t>
      </w:r>
      <w:r w:rsidRPr="00ED613F">
        <w:rPr>
          <w:b/>
        </w:rPr>
        <w:t>%</w:t>
      </w:r>
      <w:r w:rsidR="00817703">
        <w:t xml:space="preserve"> when compared to 2015</w:t>
      </w:r>
      <w:r w:rsidR="008352EE">
        <w:t xml:space="preserve"> </w:t>
      </w:r>
      <w:r w:rsidR="00817703">
        <w:t>but</w:t>
      </w:r>
      <w:r w:rsidR="00576E7F">
        <w:t xml:space="preserve"> </w:t>
      </w:r>
      <w:r w:rsidR="00537556">
        <w:t>de</w:t>
      </w:r>
      <w:r w:rsidR="008352EE">
        <w:t xml:space="preserve">creased </w:t>
      </w:r>
      <w:r w:rsidR="00817703">
        <w:rPr>
          <w:b/>
        </w:rPr>
        <w:t>2</w:t>
      </w:r>
      <w:r w:rsidRPr="00ED613F">
        <w:rPr>
          <w:b/>
        </w:rPr>
        <w:t>%</w:t>
      </w:r>
      <w:r>
        <w:t xml:space="preserve"> compared to the five-year average. </w:t>
      </w:r>
    </w:p>
    <w:p w:rsidR="009A6103" w:rsidRDefault="009A6103" w:rsidP="00BC4C8B">
      <w:pPr>
        <w:ind w:firstLine="720"/>
        <w:jc w:val="both"/>
      </w:pPr>
    </w:p>
    <w:tbl>
      <w:tblPr>
        <w:tblW w:w="9423" w:type="dxa"/>
        <w:tblInd w:w="93" w:type="dxa"/>
        <w:tblLook w:val="04A0" w:firstRow="1" w:lastRow="0" w:firstColumn="1" w:lastColumn="0" w:noHBand="0" w:noVBand="1"/>
      </w:tblPr>
      <w:tblGrid>
        <w:gridCol w:w="1847"/>
        <w:gridCol w:w="1461"/>
        <w:gridCol w:w="1019"/>
        <w:gridCol w:w="1019"/>
        <w:gridCol w:w="1019"/>
        <w:gridCol w:w="1019"/>
        <w:gridCol w:w="1019"/>
        <w:gridCol w:w="1020"/>
      </w:tblGrid>
      <w:tr w:rsidR="00435B2C" w:rsidTr="00A23F9C">
        <w:trPr>
          <w:trHeight w:val="289"/>
        </w:trPr>
        <w:tc>
          <w:tcPr>
            <w:tcW w:w="9420" w:type="dxa"/>
            <w:gridSpan w:val="8"/>
            <w:tcBorders>
              <w:top w:val="single" w:sz="8" w:space="0" w:color="auto"/>
              <w:left w:val="single" w:sz="8" w:space="0" w:color="auto"/>
              <w:bottom w:val="single" w:sz="4" w:space="0" w:color="auto"/>
              <w:right w:val="single" w:sz="8" w:space="0" w:color="000000"/>
            </w:tcBorders>
            <w:shd w:val="clear" w:color="000000" w:fill="C4BD97"/>
            <w:noWrap/>
            <w:vAlign w:val="center"/>
            <w:hideMark/>
          </w:tcPr>
          <w:p w:rsidR="00435B2C" w:rsidRDefault="00435B2C" w:rsidP="00A23F9C">
            <w:pPr>
              <w:jc w:val="center"/>
              <w:rPr>
                <w:rFonts w:ascii="Arial" w:hAnsi="Arial" w:cs="Arial"/>
                <w:b/>
                <w:bCs/>
                <w:sz w:val="28"/>
                <w:szCs w:val="28"/>
              </w:rPr>
            </w:pPr>
            <w:r>
              <w:rPr>
                <w:rFonts w:ascii="Arial" w:hAnsi="Arial" w:cs="Arial"/>
                <w:b/>
                <w:bCs/>
                <w:sz w:val="28"/>
                <w:szCs w:val="28"/>
              </w:rPr>
              <w:t>Citations</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MONTH</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5Yr Avg.</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2011</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2012</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2013</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2014</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2015</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2016</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January</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1983</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2120</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1839</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1625</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1981</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2348</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1763</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February</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2250</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1954</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2089</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1603</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2720</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2885</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2666</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March</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2385</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2487</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1722</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1670</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3036</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3008</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2542</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April</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2305</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2578</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2125</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1970</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2895</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1955</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2012</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May</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2509</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2783</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2384</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2502</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3318</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1560</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2547</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June</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2034</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2381</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2084</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2009</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1894</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1803</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1976</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July</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2009</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2804</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1367</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1660</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2479</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1733</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1766</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August</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2088</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2822</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1600</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1562</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2643</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1815</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1937</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September</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1817</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2328</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2361</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1012</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1616</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1766</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2253</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October</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2019</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2479</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2316</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1400</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2025</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1873</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1670</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November</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1861</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1944</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1451</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1750</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2167</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1994</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1663</w:t>
            </w:r>
          </w:p>
        </w:tc>
      </w:tr>
      <w:tr w:rsidR="00435B2C" w:rsidTr="00A23F9C">
        <w:trPr>
          <w:trHeight w:val="289"/>
        </w:trPr>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December</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1944</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1935</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2207</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1606</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2227</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1745</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1854</w:t>
            </w:r>
          </w:p>
        </w:tc>
      </w:tr>
      <w:tr w:rsidR="00435B2C" w:rsidTr="00A23F9C">
        <w:trPr>
          <w:trHeight w:val="289"/>
        </w:trPr>
        <w:tc>
          <w:tcPr>
            <w:tcW w:w="1847"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Totals</w:t>
            </w:r>
          </w:p>
        </w:tc>
        <w:tc>
          <w:tcPr>
            <w:tcW w:w="146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25203</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28615</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23545</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20369</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29001</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24485</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24649</w:t>
            </w:r>
          </w:p>
        </w:tc>
      </w:tr>
      <w:tr w:rsidR="00435B2C" w:rsidTr="00A23F9C">
        <w:trPr>
          <w:trHeight w:val="289"/>
        </w:trPr>
        <w:tc>
          <w:tcPr>
            <w:tcW w:w="1847"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 of ∆</w:t>
            </w:r>
          </w:p>
        </w:tc>
        <w:tc>
          <w:tcPr>
            <w:tcW w:w="1461" w:type="dxa"/>
            <w:tcBorders>
              <w:top w:val="nil"/>
              <w:left w:val="nil"/>
              <w:bottom w:val="single" w:sz="4" w:space="0" w:color="auto"/>
              <w:right w:val="single" w:sz="4" w:space="0" w:color="auto"/>
            </w:tcBorders>
            <w:shd w:val="clear" w:color="000000" w:fill="000000"/>
            <w:noWrap/>
            <w:vAlign w:val="center"/>
            <w:hideMark/>
          </w:tcPr>
          <w:p w:rsidR="00435B2C" w:rsidRDefault="00435B2C" w:rsidP="00A23F9C">
            <w:pPr>
              <w:jc w:val="center"/>
              <w:rPr>
                <w:rFonts w:ascii="Arial" w:hAnsi="Arial" w:cs="Arial"/>
                <w:sz w:val="20"/>
                <w:szCs w:val="20"/>
              </w:rPr>
            </w:pPr>
          </w:p>
        </w:tc>
        <w:tc>
          <w:tcPr>
            <w:tcW w:w="1019" w:type="dxa"/>
            <w:tcBorders>
              <w:top w:val="nil"/>
              <w:left w:val="nil"/>
              <w:bottom w:val="single" w:sz="4" w:space="0" w:color="auto"/>
              <w:right w:val="single" w:sz="4" w:space="0" w:color="auto"/>
            </w:tcBorders>
            <w:shd w:val="clear" w:color="000000" w:fill="000000"/>
            <w:noWrap/>
            <w:vAlign w:val="center"/>
            <w:hideMark/>
          </w:tcPr>
          <w:p w:rsidR="00435B2C" w:rsidRDefault="00435B2C" w:rsidP="00A23F9C">
            <w:pPr>
              <w:jc w:val="center"/>
              <w:rPr>
                <w:rFonts w:ascii="Arial" w:hAnsi="Arial" w:cs="Arial"/>
                <w:b/>
                <w:bCs/>
                <w:sz w:val="20"/>
                <w:szCs w:val="20"/>
              </w:rPr>
            </w:pP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-18%</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-13%</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42%</w:t>
            </w:r>
          </w:p>
        </w:tc>
        <w:tc>
          <w:tcPr>
            <w:tcW w:w="1019"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-16%</w:t>
            </w:r>
          </w:p>
        </w:tc>
        <w:tc>
          <w:tcPr>
            <w:tcW w:w="1020"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w:t>
            </w:r>
          </w:p>
        </w:tc>
      </w:tr>
    </w:tbl>
    <w:p w:rsidR="00BC1EC7" w:rsidRDefault="00BC1EC7" w:rsidP="009A6103"/>
    <w:p w:rsidR="00BC1EC7" w:rsidRDefault="00BC1EC7" w:rsidP="0090040F">
      <w:pPr>
        <w:ind w:firstLine="720"/>
      </w:pPr>
    </w:p>
    <w:p w:rsidR="003B13DA" w:rsidRDefault="003B13DA" w:rsidP="009A6103"/>
    <w:p w:rsidR="00302C52" w:rsidRDefault="00435B2C" w:rsidP="00302C52">
      <w:r>
        <w:rPr>
          <w:noProof/>
        </w:rPr>
        <w:drawing>
          <wp:inline distT="0" distB="0" distL="0" distR="0" wp14:anchorId="057F386B" wp14:editId="3EA780C1">
            <wp:extent cx="5952565" cy="3316942"/>
            <wp:effectExtent l="0" t="0" r="10160" b="1714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55F99" w:rsidRDefault="00855F99" w:rsidP="00302C52"/>
    <w:p w:rsidR="00A23F9C" w:rsidRDefault="00A23F9C" w:rsidP="00302C52">
      <w:pPr>
        <w:rPr>
          <w:b/>
          <w:i/>
          <w:sz w:val="28"/>
          <w:szCs w:val="28"/>
          <w:u w:val="single"/>
        </w:rPr>
      </w:pPr>
    </w:p>
    <w:p w:rsidR="00104599" w:rsidRPr="00302C52" w:rsidRDefault="00104599" w:rsidP="00302C52">
      <w:r w:rsidRPr="0090040F">
        <w:rPr>
          <w:b/>
          <w:i/>
          <w:sz w:val="28"/>
          <w:szCs w:val="28"/>
          <w:u w:val="single"/>
        </w:rPr>
        <w:lastRenderedPageBreak/>
        <w:t>DUI Arrests</w:t>
      </w:r>
      <w:r w:rsidR="008352EE">
        <w:rPr>
          <w:b/>
          <w:i/>
          <w:sz w:val="28"/>
          <w:szCs w:val="28"/>
          <w:u w:val="single"/>
        </w:rPr>
        <w:t>:</w:t>
      </w:r>
    </w:p>
    <w:p w:rsidR="0090040F" w:rsidRDefault="00BF3AD1" w:rsidP="00104599">
      <w:pPr>
        <w:rPr>
          <w:b/>
        </w:rPr>
      </w:pPr>
      <w:r>
        <w:rPr>
          <w:b/>
        </w:rPr>
        <w:tab/>
      </w:r>
    </w:p>
    <w:p w:rsidR="00BF3AD1" w:rsidRDefault="00BF3AD1" w:rsidP="00FD13F6">
      <w:pPr>
        <w:ind w:firstLine="720"/>
        <w:jc w:val="both"/>
      </w:pPr>
      <w:r>
        <w:t xml:space="preserve">Arrests for driving under the influence </w:t>
      </w:r>
      <w:r w:rsidR="00FD13F6">
        <w:t>de</w:t>
      </w:r>
      <w:r w:rsidR="00652526">
        <w:t>creased</w:t>
      </w:r>
      <w:r>
        <w:t xml:space="preserve"> </w:t>
      </w:r>
      <w:r w:rsidR="00817703">
        <w:rPr>
          <w:b/>
        </w:rPr>
        <w:t>1</w:t>
      </w:r>
      <w:r w:rsidRPr="009A3A80">
        <w:rPr>
          <w:b/>
        </w:rPr>
        <w:t>%</w:t>
      </w:r>
      <w:r>
        <w:t xml:space="preserve"> </w:t>
      </w:r>
      <w:r w:rsidR="008352EE">
        <w:t>in 20</w:t>
      </w:r>
      <w:r w:rsidR="00576E7F">
        <w:t>1</w:t>
      </w:r>
      <w:r w:rsidR="00817703">
        <w:t>6</w:t>
      </w:r>
      <w:r w:rsidR="008352EE">
        <w:t xml:space="preserve"> </w:t>
      </w:r>
      <w:r>
        <w:t xml:space="preserve">compared to </w:t>
      </w:r>
      <w:r w:rsidR="00817703">
        <w:t xml:space="preserve">2015 </w:t>
      </w:r>
      <w:r w:rsidR="00547E3F">
        <w:t>and</w:t>
      </w:r>
      <w:r>
        <w:t xml:space="preserve"> </w:t>
      </w:r>
      <w:r w:rsidR="00547E3F">
        <w:t>were down</w:t>
      </w:r>
      <w:r w:rsidR="009A3A80">
        <w:t xml:space="preserve"> </w:t>
      </w:r>
      <w:r w:rsidR="00817703">
        <w:rPr>
          <w:b/>
        </w:rPr>
        <w:t>25</w:t>
      </w:r>
      <w:r w:rsidR="009A3A80" w:rsidRPr="009A3A80">
        <w:rPr>
          <w:b/>
        </w:rPr>
        <w:t>%</w:t>
      </w:r>
      <w:r>
        <w:t xml:space="preserve"> </w:t>
      </w:r>
      <w:r w:rsidR="009A3A80">
        <w:t>compared to</w:t>
      </w:r>
      <w:r>
        <w:t xml:space="preserve"> the </w:t>
      </w:r>
      <w:r w:rsidR="00642664">
        <w:t xml:space="preserve">previous </w:t>
      </w:r>
      <w:r>
        <w:t>five-year average.</w:t>
      </w:r>
    </w:p>
    <w:p w:rsidR="00BD7224" w:rsidRDefault="00BD7224" w:rsidP="00A23F9C"/>
    <w:tbl>
      <w:tblPr>
        <w:tblW w:w="9396" w:type="dxa"/>
        <w:tblInd w:w="93" w:type="dxa"/>
        <w:tblLook w:val="04A0" w:firstRow="1" w:lastRow="0" w:firstColumn="1" w:lastColumn="0" w:noHBand="0" w:noVBand="1"/>
      </w:tblPr>
      <w:tblGrid>
        <w:gridCol w:w="2049"/>
        <w:gridCol w:w="1728"/>
        <w:gridCol w:w="915"/>
        <w:gridCol w:w="958"/>
        <w:gridCol w:w="958"/>
        <w:gridCol w:w="958"/>
        <w:gridCol w:w="915"/>
        <w:gridCol w:w="915"/>
      </w:tblGrid>
      <w:tr w:rsidR="00435B2C" w:rsidTr="00A23F9C">
        <w:trPr>
          <w:trHeight w:val="260"/>
        </w:trPr>
        <w:tc>
          <w:tcPr>
            <w:tcW w:w="9395" w:type="dxa"/>
            <w:gridSpan w:val="8"/>
            <w:tcBorders>
              <w:top w:val="single" w:sz="4" w:space="0" w:color="auto"/>
              <w:left w:val="single" w:sz="4" w:space="0" w:color="auto"/>
              <w:bottom w:val="single" w:sz="4" w:space="0" w:color="auto"/>
              <w:right w:val="nil"/>
            </w:tcBorders>
            <w:shd w:val="clear" w:color="000000" w:fill="C4BD97"/>
            <w:noWrap/>
            <w:vAlign w:val="center"/>
            <w:hideMark/>
          </w:tcPr>
          <w:p w:rsidR="00435B2C" w:rsidRDefault="00435B2C" w:rsidP="00A23F9C">
            <w:pPr>
              <w:jc w:val="center"/>
              <w:rPr>
                <w:rFonts w:ascii="Arial" w:hAnsi="Arial" w:cs="Arial"/>
                <w:b/>
                <w:bCs/>
                <w:sz w:val="28"/>
                <w:szCs w:val="28"/>
              </w:rPr>
            </w:pPr>
            <w:r>
              <w:rPr>
                <w:rFonts w:ascii="Arial" w:hAnsi="Arial" w:cs="Arial"/>
                <w:b/>
                <w:bCs/>
                <w:sz w:val="28"/>
                <w:szCs w:val="28"/>
              </w:rPr>
              <w:t>DUI Arrests</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MONTH</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5 Yr Avg.</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2011</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2012</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2013</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2014</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2015</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2016</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January</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81</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102</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94</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97</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color w:val="000000"/>
                <w:sz w:val="20"/>
                <w:szCs w:val="20"/>
              </w:rPr>
            </w:pPr>
            <w:r>
              <w:rPr>
                <w:rFonts w:ascii="Arial" w:hAnsi="Arial" w:cs="Arial"/>
                <w:color w:val="000000"/>
                <w:sz w:val="20"/>
                <w:szCs w:val="20"/>
              </w:rPr>
              <w:t>46</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color w:val="000000"/>
                <w:sz w:val="20"/>
                <w:szCs w:val="20"/>
              </w:rPr>
            </w:pPr>
            <w:r>
              <w:rPr>
                <w:rFonts w:ascii="Arial" w:hAnsi="Arial" w:cs="Arial"/>
                <w:color w:val="000000"/>
                <w:sz w:val="20"/>
                <w:szCs w:val="20"/>
              </w:rPr>
              <w:t>64</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color w:val="000000"/>
                <w:sz w:val="20"/>
                <w:szCs w:val="20"/>
              </w:rPr>
            </w:pPr>
            <w:r>
              <w:rPr>
                <w:rFonts w:ascii="Arial" w:hAnsi="Arial" w:cs="Arial"/>
                <w:color w:val="000000"/>
                <w:sz w:val="20"/>
                <w:szCs w:val="20"/>
              </w:rPr>
              <w:t>52</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February</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77</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96</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99</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75</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color w:val="000000"/>
                <w:sz w:val="20"/>
                <w:szCs w:val="20"/>
              </w:rPr>
            </w:pPr>
            <w:r>
              <w:rPr>
                <w:rFonts w:ascii="Arial" w:hAnsi="Arial" w:cs="Arial"/>
                <w:color w:val="000000"/>
                <w:sz w:val="20"/>
                <w:szCs w:val="20"/>
              </w:rPr>
              <w:t>48</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color w:val="000000"/>
                <w:sz w:val="20"/>
                <w:szCs w:val="20"/>
              </w:rPr>
            </w:pPr>
            <w:r>
              <w:rPr>
                <w:rFonts w:ascii="Arial" w:hAnsi="Arial" w:cs="Arial"/>
                <w:color w:val="000000"/>
                <w:sz w:val="20"/>
                <w:szCs w:val="20"/>
              </w:rPr>
              <w:t>65</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color w:val="000000"/>
                <w:sz w:val="20"/>
                <w:szCs w:val="20"/>
              </w:rPr>
            </w:pPr>
            <w:r>
              <w:rPr>
                <w:rFonts w:ascii="Arial" w:hAnsi="Arial" w:cs="Arial"/>
                <w:color w:val="000000"/>
                <w:sz w:val="20"/>
                <w:szCs w:val="20"/>
              </w:rPr>
              <w:t>48</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March</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71</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94</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61</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92</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color w:val="000000"/>
                <w:sz w:val="20"/>
                <w:szCs w:val="20"/>
              </w:rPr>
            </w:pPr>
            <w:r>
              <w:rPr>
                <w:rFonts w:ascii="Arial" w:hAnsi="Arial" w:cs="Arial"/>
                <w:color w:val="000000"/>
                <w:sz w:val="20"/>
                <w:szCs w:val="20"/>
              </w:rPr>
              <w:t>51</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57</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40</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April</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83</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128</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78</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81</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color w:val="000000"/>
                <w:sz w:val="20"/>
                <w:szCs w:val="20"/>
              </w:rPr>
            </w:pPr>
            <w:r>
              <w:rPr>
                <w:rFonts w:ascii="Arial" w:hAnsi="Arial" w:cs="Arial"/>
                <w:color w:val="000000"/>
                <w:sz w:val="20"/>
                <w:szCs w:val="20"/>
              </w:rPr>
              <w:t>68</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59</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65</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May</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81</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128</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84</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63</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73</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57</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62</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June</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60</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78</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65</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71</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45</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43</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color w:val="000000"/>
                <w:sz w:val="20"/>
                <w:szCs w:val="20"/>
              </w:rPr>
            </w:pPr>
            <w:r>
              <w:rPr>
                <w:rFonts w:ascii="Arial" w:hAnsi="Arial" w:cs="Arial"/>
                <w:color w:val="000000"/>
                <w:sz w:val="20"/>
                <w:szCs w:val="20"/>
              </w:rPr>
              <w:t>58</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July</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72</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124</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64</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77</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60</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37</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57</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August</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77</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98</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85</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70</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70</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64</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65</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September</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64</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109</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72</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36</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46</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55</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47</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October</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77</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120</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96</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46</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64</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59</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60</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November</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71</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86</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83</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62</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69</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54</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46</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December</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76</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114</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100</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52</w:t>
            </w:r>
          </w:p>
        </w:tc>
        <w:tc>
          <w:tcPr>
            <w:tcW w:w="958" w:type="dxa"/>
            <w:tcBorders>
              <w:top w:val="nil"/>
              <w:left w:val="nil"/>
              <w:bottom w:val="nil"/>
              <w:right w:val="nil"/>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52</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60</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67</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Totals</w:t>
            </w:r>
          </w:p>
        </w:tc>
        <w:tc>
          <w:tcPr>
            <w:tcW w:w="172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889</w:t>
            </w:r>
          </w:p>
        </w:tc>
        <w:tc>
          <w:tcPr>
            <w:tcW w:w="915"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1277</w:t>
            </w: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981</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822</w:t>
            </w:r>
          </w:p>
        </w:tc>
        <w:tc>
          <w:tcPr>
            <w:tcW w:w="958" w:type="dxa"/>
            <w:tcBorders>
              <w:top w:val="single" w:sz="4" w:space="0" w:color="auto"/>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692</w:t>
            </w:r>
          </w:p>
        </w:tc>
        <w:tc>
          <w:tcPr>
            <w:tcW w:w="915"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674</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667</w:t>
            </w:r>
          </w:p>
        </w:tc>
      </w:tr>
      <w:tr w:rsidR="00435B2C" w:rsidTr="00A23F9C">
        <w:trPr>
          <w:trHeight w:val="260"/>
        </w:trPr>
        <w:tc>
          <w:tcPr>
            <w:tcW w:w="2049"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 of ∆</w:t>
            </w:r>
          </w:p>
        </w:tc>
        <w:tc>
          <w:tcPr>
            <w:tcW w:w="1728" w:type="dxa"/>
            <w:tcBorders>
              <w:top w:val="nil"/>
              <w:left w:val="nil"/>
              <w:bottom w:val="single" w:sz="4" w:space="0" w:color="auto"/>
              <w:right w:val="single" w:sz="4" w:space="0" w:color="auto"/>
            </w:tcBorders>
            <w:shd w:val="clear" w:color="000000" w:fill="000000"/>
            <w:noWrap/>
            <w:vAlign w:val="center"/>
            <w:hideMark/>
          </w:tcPr>
          <w:p w:rsidR="00435B2C" w:rsidRDefault="00435B2C" w:rsidP="00A23F9C">
            <w:pPr>
              <w:jc w:val="center"/>
              <w:rPr>
                <w:rFonts w:ascii="Arial" w:hAnsi="Arial" w:cs="Arial"/>
                <w:sz w:val="20"/>
                <w:szCs w:val="20"/>
              </w:rPr>
            </w:pPr>
          </w:p>
        </w:tc>
        <w:tc>
          <w:tcPr>
            <w:tcW w:w="915" w:type="dxa"/>
            <w:tcBorders>
              <w:top w:val="nil"/>
              <w:left w:val="nil"/>
              <w:bottom w:val="single" w:sz="4" w:space="0" w:color="auto"/>
              <w:right w:val="single" w:sz="4" w:space="0" w:color="auto"/>
            </w:tcBorders>
            <w:shd w:val="clear" w:color="000000" w:fill="000000"/>
            <w:noWrap/>
            <w:vAlign w:val="center"/>
            <w:hideMark/>
          </w:tcPr>
          <w:p w:rsidR="00435B2C" w:rsidRDefault="00435B2C" w:rsidP="00A23F9C">
            <w:pPr>
              <w:jc w:val="center"/>
              <w:rPr>
                <w:rFonts w:ascii="Arial" w:hAnsi="Arial" w:cs="Arial"/>
                <w:b/>
                <w:bCs/>
                <w:sz w:val="20"/>
                <w:szCs w:val="20"/>
              </w:rPr>
            </w:pPr>
          </w:p>
        </w:tc>
        <w:tc>
          <w:tcPr>
            <w:tcW w:w="958"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-23%</w:t>
            </w:r>
          </w:p>
        </w:tc>
        <w:tc>
          <w:tcPr>
            <w:tcW w:w="958" w:type="dxa"/>
            <w:tcBorders>
              <w:top w:val="nil"/>
              <w:left w:val="nil"/>
              <w:bottom w:val="single" w:sz="4" w:space="0" w:color="auto"/>
              <w:right w:val="nil"/>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-16%</w:t>
            </w:r>
          </w:p>
        </w:tc>
        <w:tc>
          <w:tcPr>
            <w:tcW w:w="958"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-16%</w:t>
            </w:r>
          </w:p>
        </w:tc>
        <w:tc>
          <w:tcPr>
            <w:tcW w:w="915" w:type="dxa"/>
            <w:tcBorders>
              <w:top w:val="nil"/>
              <w:left w:val="single" w:sz="4" w:space="0" w:color="auto"/>
              <w:bottom w:val="single" w:sz="4" w:space="0" w:color="auto"/>
              <w:right w:val="nil"/>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-3%</w:t>
            </w:r>
          </w:p>
        </w:tc>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w:t>
            </w:r>
          </w:p>
        </w:tc>
      </w:tr>
    </w:tbl>
    <w:p w:rsidR="00435B2C" w:rsidRDefault="00435B2C" w:rsidP="00FB293E">
      <w:pPr>
        <w:jc w:val="center"/>
      </w:pPr>
    </w:p>
    <w:p w:rsidR="00A23F9C" w:rsidRDefault="00A23F9C" w:rsidP="00FB293E">
      <w:pPr>
        <w:jc w:val="center"/>
      </w:pPr>
    </w:p>
    <w:p w:rsidR="00A23F9C" w:rsidRDefault="00A23F9C" w:rsidP="00FB293E">
      <w:pPr>
        <w:jc w:val="center"/>
      </w:pPr>
    </w:p>
    <w:p w:rsidR="00302C52" w:rsidRDefault="00435B2C" w:rsidP="00302C52">
      <w:r>
        <w:rPr>
          <w:noProof/>
        </w:rPr>
        <w:drawing>
          <wp:inline distT="0" distB="0" distL="0" distR="0" wp14:anchorId="0F665676" wp14:editId="46D4BE26">
            <wp:extent cx="5898776" cy="3379695"/>
            <wp:effectExtent l="0" t="0" r="26035" b="1143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0289E" w:rsidRDefault="0080289E" w:rsidP="00302C52">
      <w:pPr>
        <w:rPr>
          <w:b/>
          <w:i/>
          <w:sz w:val="28"/>
          <w:szCs w:val="28"/>
          <w:u w:val="single"/>
        </w:rPr>
      </w:pPr>
    </w:p>
    <w:p w:rsidR="00A23F9C" w:rsidRDefault="00A23F9C" w:rsidP="00302C52">
      <w:pPr>
        <w:rPr>
          <w:b/>
          <w:i/>
          <w:sz w:val="28"/>
          <w:szCs w:val="28"/>
          <w:u w:val="single"/>
        </w:rPr>
      </w:pPr>
    </w:p>
    <w:p w:rsidR="00A23F9C" w:rsidRDefault="00A23F9C" w:rsidP="00302C52">
      <w:pPr>
        <w:rPr>
          <w:b/>
          <w:i/>
          <w:sz w:val="28"/>
          <w:szCs w:val="28"/>
          <w:u w:val="single"/>
        </w:rPr>
      </w:pPr>
    </w:p>
    <w:p w:rsidR="00E3055E" w:rsidRPr="00302C52" w:rsidRDefault="00E3055E" w:rsidP="00302C52">
      <w:r w:rsidRPr="00980F35">
        <w:rPr>
          <w:b/>
          <w:i/>
          <w:sz w:val="28"/>
          <w:szCs w:val="28"/>
          <w:u w:val="single"/>
        </w:rPr>
        <w:lastRenderedPageBreak/>
        <w:t>Alcohol related crashes:</w:t>
      </w:r>
    </w:p>
    <w:p w:rsidR="00E3055E" w:rsidRDefault="00E3055E" w:rsidP="00E3055E"/>
    <w:p w:rsidR="00E3055E" w:rsidRPr="00980F35" w:rsidRDefault="00E3055E" w:rsidP="009A2311">
      <w:pPr>
        <w:jc w:val="both"/>
      </w:pPr>
      <w:r>
        <w:tab/>
        <w:t>Alcohol related crashes</w:t>
      </w:r>
      <w:r w:rsidR="00FD13F6">
        <w:t xml:space="preserve"> </w:t>
      </w:r>
      <w:r w:rsidR="001E63C5">
        <w:t>de</w:t>
      </w:r>
      <w:r w:rsidR="000F2074">
        <w:t xml:space="preserve">creased </w:t>
      </w:r>
      <w:r w:rsidR="001D0E68">
        <w:rPr>
          <w:b/>
        </w:rPr>
        <w:t>32</w:t>
      </w:r>
      <w:r w:rsidR="000F2074" w:rsidRPr="000F2074">
        <w:rPr>
          <w:b/>
        </w:rPr>
        <w:t>%</w:t>
      </w:r>
      <w:r w:rsidR="000F2074">
        <w:t xml:space="preserve"> when </w:t>
      </w:r>
      <w:r w:rsidR="00926FB9">
        <w:t xml:space="preserve">compared to </w:t>
      </w:r>
      <w:r w:rsidR="001E63C5">
        <w:t>2015</w:t>
      </w:r>
      <w:r>
        <w:t xml:space="preserve">.  </w:t>
      </w:r>
      <w:r w:rsidR="00FD13F6">
        <w:t>A</w:t>
      </w:r>
      <w:r w:rsidR="001D0E68">
        <w:t xml:space="preserve"> de</w:t>
      </w:r>
      <w:r w:rsidR="00855F99">
        <w:t xml:space="preserve">crease of </w:t>
      </w:r>
      <w:r w:rsidR="001E63C5">
        <w:rPr>
          <w:b/>
        </w:rPr>
        <w:t>41</w:t>
      </w:r>
      <w:r w:rsidR="000F2074" w:rsidRPr="00855F99">
        <w:rPr>
          <w:b/>
        </w:rPr>
        <w:t>%</w:t>
      </w:r>
      <w:r w:rsidR="000F2074">
        <w:t xml:space="preserve"> </w:t>
      </w:r>
      <w:r w:rsidR="00926FB9">
        <w:t>was</w:t>
      </w:r>
      <w:r w:rsidR="00FD13F6">
        <w:t xml:space="preserve"> </w:t>
      </w:r>
      <w:r>
        <w:t xml:space="preserve">noted when compared to the previous five year average.  Alcohol related crashes made up </w:t>
      </w:r>
      <w:r w:rsidR="001E63C5">
        <w:rPr>
          <w:b/>
        </w:rPr>
        <w:t>2</w:t>
      </w:r>
      <w:r w:rsidR="000F2074">
        <w:t>% of all crashes</w:t>
      </w:r>
      <w:r>
        <w:t xml:space="preserve"> </w:t>
      </w:r>
      <w:r w:rsidR="00DE6F40">
        <w:t>in the City of Gulfport for 2015</w:t>
      </w:r>
      <w:r>
        <w:t xml:space="preserve">.  </w:t>
      </w:r>
    </w:p>
    <w:p w:rsidR="00E3055E" w:rsidRDefault="00E3055E" w:rsidP="00E3055E"/>
    <w:tbl>
      <w:tblPr>
        <w:tblW w:w="9310" w:type="dxa"/>
        <w:tblInd w:w="93" w:type="dxa"/>
        <w:tblLook w:val="04A0" w:firstRow="1" w:lastRow="0" w:firstColumn="1" w:lastColumn="0" w:noHBand="0" w:noVBand="1"/>
      </w:tblPr>
      <w:tblGrid>
        <w:gridCol w:w="2064"/>
        <w:gridCol w:w="1634"/>
        <w:gridCol w:w="921"/>
        <w:gridCol w:w="921"/>
        <w:gridCol w:w="921"/>
        <w:gridCol w:w="964"/>
        <w:gridCol w:w="921"/>
        <w:gridCol w:w="964"/>
      </w:tblGrid>
      <w:tr w:rsidR="00435B2C" w:rsidTr="00A23F9C">
        <w:trPr>
          <w:trHeight w:val="260"/>
        </w:trPr>
        <w:tc>
          <w:tcPr>
            <w:tcW w:w="9307" w:type="dxa"/>
            <w:gridSpan w:val="8"/>
            <w:tcBorders>
              <w:top w:val="single" w:sz="4" w:space="0" w:color="auto"/>
              <w:left w:val="single" w:sz="4" w:space="0" w:color="auto"/>
              <w:bottom w:val="single" w:sz="4" w:space="0" w:color="auto"/>
              <w:right w:val="single" w:sz="4" w:space="0" w:color="000000"/>
            </w:tcBorders>
            <w:shd w:val="clear" w:color="000000" w:fill="C4BD97"/>
            <w:noWrap/>
            <w:vAlign w:val="center"/>
            <w:hideMark/>
          </w:tcPr>
          <w:p w:rsidR="00435B2C" w:rsidRDefault="00435B2C" w:rsidP="00A23F9C">
            <w:pPr>
              <w:jc w:val="center"/>
              <w:rPr>
                <w:rFonts w:ascii="Arial" w:hAnsi="Arial" w:cs="Arial"/>
                <w:b/>
                <w:bCs/>
                <w:sz w:val="28"/>
                <w:szCs w:val="28"/>
              </w:rPr>
            </w:pPr>
            <w:r>
              <w:rPr>
                <w:rFonts w:ascii="Arial" w:hAnsi="Arial" w:cs="Arial"/>
                <w:b/>
                <w:bCs/>
                <w:sz w:val="28"/>
                <w:szCs w:val="28"/>
              </w:rPr>
              <w:t>Alcohol related crashes</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MONTH</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5Yr Avg.</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2011</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2012</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2013</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2014</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2015</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2016</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January</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8</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11</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February</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12</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17</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13</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11</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March</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12</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18</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17</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April</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10</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11</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11</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10</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11</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May</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6</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June</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9</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15</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July</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9</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11</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10</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August</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9</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7</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16</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11</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September</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9</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14</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10</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3</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October</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10</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13</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10</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4</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11</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November</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10</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8</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18</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10</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9</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5</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December</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14</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19</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13</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18</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6</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12</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sz w:val="20"/>
                <w:szCs w:val="20"/>
              </w:rPr>
            </w:pPr>
            <w:r>
              <w:rPr>
                <w:rFonts w:ascii="Arial" w:hAnsi="Arial" w:cs="Arial"/>
                <w:sz w:val="20"/>
                <w:szCs w:val="20"/>
              </w:rPr>
              <w:t>2</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Totals</w:t>
            </w:r>
          </w:p>
        </w:tc>
        <w:tc>
          <w:tcPr>
            <w:tcW w:w="163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116</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130</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123</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135</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92</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102</w:t>
            </w:r>
          </w:p>
        </w:tc>
        <w:tc>
          <w:tcPr>
            <w:tcW w:w="964" w:type="dxa"/>
            <w:tcBorders>
              <w:top w:val="nil"/>
              <w:left w:val="nil"/>
              <w:bottom w:val="nil"/>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69</w:t>
            </w:r>
          </w:p>
        </w:tc>
      </w:tr>
      <w:tr w:rsidR="00435B2C" w:rsidTr="00A23F9C">
        <w:trPr>
          <w:trHeight w:val="260"/>
        </w:trPr>
        <w:tc>
          <w:tcPr>
            <w:tcW w:w="2064" w:type="dxa"/>
            <w:tcBorders>
              <w:top w:val="nil"/>
              <w:left w:val="single" w:sz="4" w:space="0" w:color="auto"/>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 of ∆</w:t>
            </w:r>
          </w:p>
        </w:tc>
        <w:tc>
          <w:tcPr>
            <w:tcW w:w="1634" w:type="dxa"/>
            <w:tcBorders>
              <w:top w:val="nil"/>
              <w:left w:val="nil"/>
              <w:bottom w:val="single" w:sz="4" w:space="0" w:color="auto"/>
              <w:right w:val="single" w:sz="4" w:space="0" w:color="auto"/>
            </w:tcBorders>
            <w:shd w:val="clear" w:color="000000" w:fill="000000"/>
            <w:noWrap/>
            <w:vAlign w:val="center"/>
            <w:hideMark/>
          </w:tcPr>
          <w:p w:rsidR="00435B2C" w:rsidRDefault="00435B2C" w:rsidP="00A23F9C">
            <w:pPr>
              <w:jc w:val="center"/>
              <w:rPr>
                <w:rFonts w:ascii="Arial" w:hAnsi="Arial" w:cs="Arial"/>
                <w:sz w:val="20"/>
                <w:szCs w:val="20"/>
              </w:rPr>
            </w:pPr>
          </w:p>
        </w:tc>
        <w:tc>
          <w:tcPr>
            <w:tcW w:w="921" w:type="dxa"/>
            <w:tcBorders>
              <w:top w:val="nil"/>
              <w:left w:val="nil"/>
              <w:bottom w:val="single" w:sz="4" w:space="0" w:color="auto"/>
              <w:right w:val="single" w:sz="4" w:space="0" w:color="auto"/>
            </w:tcBorders>
            <w:shd w:val="clear" w:color="000000" w:fill="000000"/>
            <w:noWrap/>
            <w:vAlign w:val="center"/>
            <w:hideMark/>
          </w:tcPr>
          <w:p w:rsidR="00435B2C" w:rsidRDefault="00435B2C" w:rsidP="00A23F9C">
            <w:pPr>
              <w:jc w:val="center"/>
              <w:rPr>
                <w:rFonts w:ascii="Arial" w:hAnsi="Arial" w:cs="Arial"/>
                <w:b/>
                <w:bCs/>
                <w:sz w:val="20"/>
                <w:szCs w:val="20"/>
              </w:rPr>
            </w:pP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-5%</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10%</w:t>
            </w:r>
          </w:p>
        </w:tc>
        <w:tc>
          <w:tcPr>
            <w:tcW w:w="964"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-32%</w:t>
            </w:r>
          </w:p>
        </w:tc>
        <w:tc>
          <w:tcPr>
            <w:tcW w:w="921" w:type="dxa"/>
            <w:tcBorders>
              <w:top w:val="nil"/>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11%</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rsidR="00435B2C" w:rsidRDefault="00435B2C" w:rsidP="00A23F9C">
            <w:pPr>
              <w:jc w:val="center"/>
              <w:rPr>
                <w:rFonts w:ascii="Arial" w:hAnsi="Arial" w:cs="Arial"/>
                <w:b/>
                <w:bCs/>
                <w:sz w:val="20"/>
                <w:szCs w:val="20"/>
              </w:rPr>
            </w:pPr>
            <w:r>
              <w:rPr>
                <w:rFonts w:ascii="Arial" w:hAnsi="Arial" w:cs="Arial"/>
                <w:b/>
                <w:bCs/>
                <w:sz w:val="20"/>
                <w:szCs w:val="20"/>
              </w:rPr>
              <w:t>-32%</w:t>
            </w:r>
          </w:p>
        </w:tc>
      </w:tr>
    </w:tbl>
    <w:p w:rsidR="00993482" w:rsidRDefault="00993482" w:rsidP="00E3055E"/>
    <w:p w:rsidR="009A2311" w:rsidRDefault="009A2311" w:rsidP="00E3055E"/>
    <w:p w:rsidR="00E3055E" w:rsidRDefault="00E3055E" w:rsidP="00E3055E"/>
    <w:p w:rsidR="00E3055E" w:rsidRDefault="00435B2C" w:rsidP="000F2074">
      <w:r>
        <w:rPr>
          <w:noProof/>
        </w:rPr>
        <w:drawing>
          <wp:inline distT="0" distB="0" distL="0" distR="0" wp14:anchorId="3F9E8361" wp14:editId="38CA2681">
            <wp:extent cx="5934635" cy="3281082"/>
            <wp:effectExtent l="0" t="0" r="9525" b="14605"/>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D3537" w:rsidRDefault="00ED3537" w:rsidP="000F2074"/>
    <w:p w:rsidR="00ED3537" w:rsidRDefault="00ED3537" w:rsidP="000F2074"/>
    <w:p w:rsidR="00ED3537" w:rsidRDefault="00ED3537" w:rsidP="000F2074"/>
    <w:p w:rsidR="00ED3537" w:rsidRPr="00ED3537" w:rsidRDefault="00ED3537" w:rsidP="000F2074">
      <w:pPr>
        <w:rPr>
          <w:b/>
          <w:i/>
          <w:sz w:val="28"/>
          <w:u w:val="single"/>
        </w:rPr>
      </w:pPr>
      <w:r w:rsidRPr="00ED3537">
        <w:rPr>
          <w:b/>
          <w:i/>
          <w:sz w:val="28"/>
          <w:u w:val="single"/>
        </w:rPr>
        <w:lastRenderedPageBreak/>
        <w:t>Ten Year Charts</w:t>
      </w:r>
    </w:p>
    <w:p w:rsidR="00ED3537" w:rsidRDefault="00ED3537" w:rsidP="000F2074"/>
    <w:tbl>
      <w:tblPr>
        <w:tblW w:w="5317" w:type="pct"/>
        <w:tblLook w:val="04A0" w:firstRow="1" w:lastRow="0" w:firstColumn="1" w:lastColumn="0" w:noHBand="0" w:noVBand="1"/>
      </w:tblPr>
      <w:tblGrid>
        <w:gridCol w:w="1304"/>
        <w:gridCol w:w="1190"/>
        <w:gridCol w:w="693"/>
        <w:gridCol w:w="693"/>
        <w:gridCol w:w="717"/>
        <w:gridCol w:w="717"/>
        <w:gridCol w:w="692"/>
        <w:gridCol w:w="692"/>
        <w:gridCol w:w="717"/>
        <w:gridCol w:w="692"/>
        <w:gridCol w:w="692"/>
        <w:gridCol w:w="692"/>
        <w:gridCol w:w="692"/>
      </w:tblGrid>
      <w:tr w:rsidR="00ED3537" w:rsidTr="00ED3537">
        <w:trPr>
          <w:trHeight w:val="321"/>
        </w:trPr>
        <w:tc>
          <w:tcPr>
            <w:tcW w:w="5000" w:type="pct"/>
            <w:gridSpan w:val="13"/>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ED3537" w:rsidRDefault="00ED3537">
            <w:pPr>
              <w:jc w:val="center"/>
              <w:rPr>
                <w:rFonts w:ascii="Arial" w:hAnsi="Arial" w:cs="Arial"/>
                <w:b/>
                <w:bCs/>
              </w:rPr>
            </w:pPr>
            <w:r>
              <w:rPr>
                <w:rFonts w:ascii="Arial" w:hAnsi="Arial" w:cs="Arial"/>
                <w:b/>
                <w:bCs/>
              </w:rPr>
              <w:t>Violent Crimes</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sz w:val="20"/>
                <w:szCs w:val="20"/>
              </w:rPr>
            </w:pPr>
            <w:r>
              <w:rPr>
                <w:rFonts w:ascii="Arial" w:hAnsi="Arial"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10Yr Avg.</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2006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2007</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2008</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2009</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2010</w:t>
            </w:r>
          </w:p>
        </w:tc>
        <w:tc>
          <w:tcPr>
            <w:tcW w:w="340" w:type="pct"/>
            <w:tcBorders>
              <w:top w:val="nil"/>
              <w:left w:val="nil"/>
              <w:bottom w:val="nil"/>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2011</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2012</w:t>
            </w:r>
          </w:p>
        </w:tc>
        <w:tc>
          <w:tcPr>
            <w:tcW w:w="340" w:type="pct"/>
            <w:tcBorders>
              <w:top w:val="nil"/>
              <w:left w:val="nil"/>
              <w:bottom w:val="nil"/>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2013</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2014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2015</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2016</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January</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18</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27</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19</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29</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15</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21</w:t>
            </w:r>
          </w:p>
        </w:tc>
        <w:tc>
          <w:tcPr>
            <w:tcW w:w="340" w:type="pct"/>
            <w:tcBorders>
              <w:top w:val="single" w:sz="4" w:space="0" w:color="auto"/>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13</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7</w:t>
            </w:r>
          </w:p>
        </w:tc>
        <w:tc>
          <w:tcPr>
            <w:tcW w:w="340" w:type="pct"/>
            <w:tcBorders>
              <w:top w:val="single" w:sz="4" w:space="0" w:color="auto"/>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15</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24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22</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February</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19</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12</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11</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8</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10</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17</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8</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March</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15</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22</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16</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19</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8</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30</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April</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26</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27</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12</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17</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20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20</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May</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25</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24</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17</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17</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22</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June</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15</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24</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19</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13</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15</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7</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21</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22</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July</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21</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25</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18</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22</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17</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23</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20</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21</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24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17</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August</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25</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37</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20</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19</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28</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20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19</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September</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23</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45</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19</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14</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25</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10</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October</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18</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42</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20</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11</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15</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19</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18</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18</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10</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November</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34</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15</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18</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21</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23</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December</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36</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21</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12</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10</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14</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22</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sz w:val="20"/>
                <w:szCs w:val="20"/>
              </w:rPr>
            </w:pPr>
            <w:r>
              <w:rPr>
                <w:rFonts w:ascii="Arial" w:hAnsi="Arial" w:cs="Arial"/>
                <w:sz w:val="20"/>
                <w:szCs w:val="20"/>
              </w:rPr>
              <w:t>15</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sz w:val="20"/>
                <w:szCs w:val="20"/>
              </w:rPr>
            </w:pPr>
            <w:r>
              <w:rPr>
                <w:rFonts w:ascii="Arial" w:hAnsi="Arial" w:cs="Arial"/>
                <w:sz w:val="20"/>
                <w:szCs w:val="20"/>
              </w:rPr>
              <w:t>19</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Total</w:t>
            </w:r>
          </w:p>
        </w:tc>
        <w:tc>
          <w:tcPr>
            <w:tcW w:w="584"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204</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275</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317</w:t>
            </w:r>
          </w:p>
        </w:tc>
        <w:tc>
          <w:tcPr>
            <w:tcW w:w="352"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222</w:t>
            </w:r>
          </w:p>
        </w:tc>
        <w:tc>
          <w:tcPr>
            <w:tcW w:w="352"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151</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162</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195</w:t>
            </w:r>
          </w:p>
        </w:tc>
        <w:tc>
          <w:tcPr>
            <w:tcW w:w="352"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153</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182</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180</w:t>
            </w:r>
          </w:p>
        </w:tc>
        <w:tc>
          <w:tcPr>
            <w:tcW w:w="340" w:type="pct"/>
            <w:tcBorders>
              <w:top w:val="nil"/>
              <w:left w:val="nil"/>
              <w:bottom w:val="single" w:sz="4" w:space="0" w:color="auto"/>
              <w:right w:val="single" w:sz="4" w:space="0" w:color="auto"/>
            </w:tcBorders>
            <w:shd w:val="clear" w:color="auto" w:fill="auto"/>
            <w:noWrap/>
            <w:vAlign w:val="center"/>
            <w:hideMark/>
          </w:tcPr>
          <w:p w:rsidR="00ED3537" w:rsidRDefault="00ED3537">
            <w:pPr>
              <w:jc w:val="center"/>
              <w:rPr>
                <w:rFonts w:ascii="Arial" w:hAnsi="Arial" w:cs="Arial"/>
                <w:b/>
                <w:bCs/>
                <w:sz w:val="20"/>
                <w:szCs w:val="20"/>
              </w:rPr>
            </w:pPr>
            <w:r>
              <w:rPr>
                <w:rFonts w:ascii="Arial" w:hAnsi="Arial" w:cs="Arial"/>
                <w:b/>
                <w:bCs/>
                <w:sz w:val="20"/>
                <w:szCs w:val="20"/>
              </w:rPr>
              <w:t>199</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222</w:t>
            </w:r>
          </w:p>
        </w:tc>
      </w:tr>
      <w:tr w:rsidR="00ED3537" w:rsidTr="00ED3537">
        <w:trPr>
          <w:trHeight w:val="271"/>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ED3537" w:rsidRDefault="00ED3537">
            <w:pPr>
              <w:rPr>
                <w:rFonts w:ascii="Arial" w:hAnsi="Arial" w:cs="Arial"/>
                <w:b/>
                <w:bCs/>
                <w:sz w:val="20"/>
                <w:szCs w:val="20"/>
              </w:rPr>
            </w:pPr>
            <w:r>
              <w:rPr>
                <w:rFonts w:ascii="Arial" w:hAnsi="Arial" w:cs="Arial"/>
                <w:b/>
                <w:bCs/>
                <w:sz w:val="20"/>
                <w:szCs w:val="20"/>
              </w:rPr>
              <w:t>% of ∆</w:t>
            </w:r>
          </w:p>
        </w:tc>
        <w:tc>
          <w:tcPr>
            <w:tcW w:w="584" w:type="pct"/>
            <w:tcBorders>
              <w:top w:val="nil"/>
              <w:left w:val="nil"/>
              <w:bottom w:val="single" w:sz="4" w:space="0" w:color="auto"/>
              <w:right w:val="single" w:sz="4" w:space="0" w:color="auto"/>
            </w:tcBorders>
            <w:shd w:val="clear" w:color="000000" w:fill="000000"/>
            <w:noWrap/>
            <w:vAlign w:val="bottom"/>
            <w:hideMark/>
          </w:tcPr>
          <w:p w:rsidR="00ED3537" w:rsidRPr="00ED3537" w:rsidRDefault="00ED3537">
            <w:pPr>
              <w:rPr>
                <w:rFonts w:ascii="Arial" w:hAnsi="Arial" w:cs="Arial"/>
                <w:color w:val="000000" w:themeColor="text1"/>
                <w:sz w:val="20"/>
                <w:szCs w:val="20"/>
                <w:highlight w:val="black"/>
              </w:rPr>
            </w:pPr>
            <w:r w:rsidRPr="00ED3537">
              <w:rPr>
                <w:rFonts w:ascii="Arial" w:hAnsi="Arial" w:cs="Arial"/>
                <w:color w:val="000000" w:themeColor="text1"/>
                <w:sz w:val="20"/>
                <w:szCs w:val="20"/>
                <w:highlight w:val="black"/>
              </w:rPr>
              <w:t> </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Pr="00ED3537" w:rsidRDefault="00ED3537">
            <w:pPr>
              <w:jc w:val="center"/>
              <w:rPr>
                <w:rFonts w:ascii="Arial" w:hAnsi="Arial" w:cs="Arial"/>
                <w:b/>
                <w:bCs/>
                <w:color w:val="000000" w:themeColor="text1"/>
                <w:sz w:val="20"/>
                <w:szCs w:val="20"/>
                <w:highlight w:val="black"/>
              </w:rPr>
            </w:pP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15%</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-30%</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-32%</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7%</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20%</w:t>
            </w:r>
          </w:p>
        </w:tc>
        <w:tc>
          <w:tcPr>
            <w:tcW w:w="352"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-22%</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19%</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11%</w:t>
            </w:r>
          </w:p>
        </w:tc>
        <w:tc>
          <w:tcPr>
            <w:tcW w:w="340" w:type="pct"/>
            <w:tcBorders>
              <w:top w:val="nil"/>
              <w:left w:val="nil"/>
              <w:bottom w:val="single" w:sz="4" w:space="0" w:color="auto"/>
              <w:right w:val="single" w:sz="4" w:space="0" w:color="auto"/>
            </w:tcBorders>
            <w:shd w:val="clear" w:color="auto" w:fill="auto"/>
            <w:noWrap/>
            <w:vAlign w:val="bottom"/>
            <w:hideMark/>
          </w:tcPr>
          <w:p w:rsidR="00ED3537" w:rsidRDefault="00ED3537">
            <w:pPr>
              <w:jc w:val="center"/>
              <w:rPr>
                <w:rFonts w:ascii="Arial" w:hAnsi="Arial" w:cs="Arial"/>
                <w:b/>
                <w:bCs/>
                <w:sz w:val="20"/>
                <w:szCs w:val="20"/>
              </w:rPr>
            </w:pPr>
            <w:r>
              <w:rPr>
                <w:rFonts w:ascii="Arial" w:hAnsi="Arial" w:cs="Arial"/>
                <w:b/>
                <w:bCs/>
                <w:sz w:val="20"/>
                <w:szCs w:val="20"/>
              </w:rPr>
              <w:t>12%</w:t>
            </w:r>
          </w:p>
        </w:tc>
      </w:tr>
    </w:tbl>
    <w:p w:rsidR="00ED3537" w:rsidRDefault="00ED3537" w:rsidP="000F2074"/>
    <w:p w:rsidR="00ED3537" w:rsidRDefault="00ED3537" w:rsidP="000F2074"/>
    <w:p w:rsidR="00ED3537" w:rsidRDefault="00ED3537" w:rsidP="00ED3537">
      <w:r>
        <w:rPr>
          <w:noProof/>
        </w:rPr>
        <w:drawing>
          <wp:inline distT="0" distB="0" distL="0" distR="0" wp14:anchorId="47B6C156" wp14:editId="2DFCFA5B">
            <wp:extent cx="6391835" cy="4186518"/>
            <wp:effectExtent l="0" t="0" r="9525" b="2413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D3537" w:rsidRDefault="00ED3537" w:rsidP="000F2074"/>
    <w:p w:rsidR="00D30E72" w:rsidRDefault="00D30E72" w:rsidP="000F2074"/>
    <w:p w:rsidR="00D30E72" w:rsidRDefault="00D30E72" w:rsidP="000F2074">
      <w:pPr>
        <w:rPr>
          <w:b/>
          <w:i/>
          <w:u w:val="single"/>
        </w:rPr>
      </w:pPr>
    </w:p>
    <w:p w:rsidR="00D30E72" w:rsidRDefault="00D30E72" w:rsidP="000F2074">
      <w:pPr>
        <w:rPr>
          <w:b/>
          <w:i/>
          <w:u w:val="single"/>
        </w:rPr>
      </w:pPr>
    </w:p>
    <w:tbl>
      <w:tblPr>
        <w:tblW w:w="5221" w:type="pct"/>
        <w:tblLook w:val="04A0" w:firstRow="1" w:lastRow="0" w:firstColumn="1" w:lastColumn="0" w:noHBand="0" w:noVBand="1"/>
      </w:tblPr>
      <w:tblGrid>
        <w:gridCol w:w="1250"/>
        <w:gridCol w:w="1141"/>
        <w:gridCol w:w="668"/>
        <w:gridCol w:w="690"/>
        <w:gridCol w:w="734"/>
        <w:gridCol w:w="690"/>
        <w:gridCol w:w="668"/>
        <w:gridCol w:w="734"/>
        <w:gridCol w:w="690"/>
        <w:gridCol w:w="668"/>
        <w:gridCol w:w="734"/>
        <w:gridCol w:w="668"/>
        <w:gridCol w:w="664"/>
      </w:tblGrid>
      <w:tr w:rsidR="00D30E72" w:rsidTr="00D30E72">
        <w:trPr>
          <w:trHeight w:val="315"/>
        </w:trPr>
        <w:tc>
          <w:tcPr>
            <w:tcW w:w="5000" w:type="pct"/>
            <w:gridSpan w:val="13"/>
            <w:tcBorders>
              <w:top w:val="single" w:sz="4" w:space="0" w:color="auto"/>
              <w:left w:val="single" w:sz="4" w:space="0" w:color="auto"/>
              <w:bottom w:val="single" w:sz="4" w:space="0" w:color="auto"/>
              <w:right w:val="single" w:sz="4" w:space="0" w:color="000000"/>
            </w:tcBorders>
            <w:shd w:val="clear" w:color="000000" w:fill="C4BD97"/>
            <w:noWrap/>
            <w:vAlign w:val="bottom"/>
            <w:hideMark/>
          </w:tcPr>
          <w:p w:rsidR="00D30E72" w:rsidRDefault="00D30E72">
            <w:pPr>
              <w:jc w:val="center"/>
              <w:rPr>
                <w:rFonts w:ascii="Arial" w:hAnsi="Arial" w:cs="Arial"/>
                <w:b/>
                <w:bCs/>
              </w:rPr>
            </w:pPr>
            <w:r>
              <w:rPr>
                <w:rFonts w:ascii="Arial" w:hAnsi="Arial" w:cs="Arial"/>
                <w:b/>
                <w:bCs/>
              </w:rPr>
              <w:t>Homicide</w:t>
            </w:r>
          </w:p>
        </w:tc>
      </w:tr>
      <w:tr w:rsidR="00D30E72" w:rsidTr="00D30E72">
        <w:trPr>
          <w:trHeight w:val="315"/>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rPr>
            </w:pPr>
            <w:r>
              <w:rPr>
                <w:rFonts w:ascii="Arial" w:hAnsi="Arial" w:cs="Arial"/>
                <w:b/>
                <w:bCs/>
              </w:rPr>
              <w:t> </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10Yr Avg.</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2006</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2007</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2008</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2009</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2012</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2013</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2014</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2015</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2016</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January</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February</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March</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r>
      <w:tr w:rsidR="00D30E72" w:rsidTr="00D30E72">
        <w:trPr>
          <w:trHeight w:val="315"/>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April</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r>
      <w:tr w:rsidR="00D30E72" w:rsidTr="00D30E72">
        <w:trPr>
          <w:trHeight w:val="315"/>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May</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June</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July</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August</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September</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October</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November</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December</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r>
      <w:tr w:rsidR="00D30E72" w:rsidTr="00D30E72">
        <w:trPr>
          <w:trHeight w:val="243"/>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D30E72" w:rsidRDefault="00D30E72">
            <w:pPr>
              <w:rPr>
                <w:rFonts w:ascii="Arial" w:hAnsi="Arial" w:cs="Arial"/>
                <w:b/>
                <w:bCs/>
                <w:sz w:val="20"/>
                <w:szCs w:val="20"/>
              </w:rPr>
            </w:pPr>
            <w:r>
              <w:rPr>
                <w:rFonts w:ascii="Arial" w:hAnsi="Arial" w:cs="Arial"/>
                <w:b/>
                <w:bCs/>
                <w:sz w:val="20"/>
                <w:szCs w:val="20"/>
              </w:rPr>
              <w:t>Total</w:t>
            </w:r>
          </w:p>
        </w:tc>
        <w:tc>
          <w:tcPr>
            <w:tcW w:w="57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12</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4</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9</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6</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6</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17</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3</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3</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7</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8</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10</w:t>
            </w:r>
          </w:p>
        </w:tc>
      </w:tr>
      <w:tr w:rsidR="00D30E72" w:rsidTr="00D30E72">
        <w:trPr>
          <w:trHeight w:val="267"/>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D30E72" w:rsidRDefault="00D30E72">
            <w:pPr>
              <w:rPr>
                <w:rFonts w:ascii="Arial" w:hAnsi="Arial" w:cs="Arial"/>
                <w:b/>
                <w:bCs/>
                <w:sz w:val="20"/>
                <w:szCs w:val="20"/>
              </w:rPr>
            </w:pPr>
            <w:r>
              <w:rPr>
                <w:rFonts w:ascii="Arial" w:hAnsi="Arial" w:cs="Arial"/>
                <w:b/>
                <w:bCs/>
                <w:sz w:val="20"/>
                <w:szCs w:val="20"/>
              </w:rPr>
              <w:t>% of ∆</w:t>
            </w:r>
          </w:p>
        </w:tc>
        <w:tc>
          <w:tcPr>
            <w:tcW w:w="571" w:type="pct"/>
            <w:tcBorders>
              <w:top w:val="nil"/>
              <w:left w:val="nil"/>
              <w:bottom w:val="single" w:sz="4" w:space="0" w:color="auto"/>
              <w:right w:val="single" w:sz="4" w:space="0" w:color="auto"/>
            </w:tcBorders>
            <w:shd w:val="clear" w:color="000000" w:fill="000000"/>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 </w:t>
            </w:r>
          </w:p>
        </w:tc>
        <w:tc>
          <w:tcPr>
            <w:tcW w:w="334" w:type="pct"/>
            <w:tcBorders>
              <w:top w:val="nil"/>
              <w:left w:val="nil"/>
              <w:bottom w:val="single" w:sz="4" w:space="0" w:color="auto"/>
              <w:right w:val="single" w:sz="4" w:space="0" w:color="auto"/>
            </w:tcBorders>
            <w:shd w:val="clear" w:color="000000" w:fill="000000"/>
            <w:noWrap/>
            <w:vAlign w:val="center"/>
            <w:hideMark/>
          </w:tcPr>
          <w:p w:rsidR="00D30E72" w:rsidRDefault="00D30E72">
            <w:pPr>
              <w:jc w:val="center"/>
              <w:rPr>
                <w:rFonts w:ascii="Arial" w:hAnsi="Arial" w:cs="Arial"/>
                <w:b/>
                <w:bCs/>
                <w:sz w:val="20"/>
                <w:szCs w:val="20"/>
              </w:rPr>
            </w:pP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-67%</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125%</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-33%</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0%</w:t>
            </w:r>
          </w:p>
        </w:tc>
        <w:tc>
          <w:tcPr>
            <w:tcW w:w="367"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183%</w:t>
            </w:r>
          </w:p>
        </w:tc>
        <w:tc>
          <w:tcPr>
            <w:tcW w:w="345"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-82%</w:t>
            </w:r>
          </w:p>
        </w:tc>
        <w:tc>
          <w:tcPr>
            <w:tcW w:w="334"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0%</w:t>
            </w:r>
          </w:p>
        </w:tc>
        <w:tc>
          <w:tcPr>
            <w:tcW w:w="367"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133%</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14%</w:t>
            </w:r>
          </w:p>
        </w:tc>
        <w:tc>
          <w:tcPr>
            <w:tcW w:w="33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25%</w:t>
            </w:r>
          </w:p>
        </w:tc>
      </w:tr>
    </w:tbl>
    <w:p w:rsidR="00D30E72" w:rsidRPr="00D30E72" w:rsidRDefault="00D30E72" w:rsidP="000F2074">
      <w:pPr>
        <w:rPr>
          <w:b/>
          <w:i/>
          <w:u w:val="single"/>
        </w:rPr>
      </w:pPr>
    </w:p>
    <w:p w:rsidR="00D30E72" w:rsidRDefault="00D30E72" w:rsidP="000F2074"/>
    <w:p w:rsidR="00D30E72" w:rsidRDefault="00D30E72" w:rsidP="000F2074">
      <w:r>
        <w:rPr>
          <w:noProof/>
        </w:rPr>
        <w:drawing>
          <wp:inline distT="0" distB="0" distL="0" distR="0" wp14:anchorId="738613EE" wp14:editId="0F149E45">
            <wp:extent cx="6212541" cy="4204447"/>
            <wp:effectExtent l="0" t="0" r="17145" b="2476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30E72" w:rsidRDefault="00D30E72" w:rsidP="000F2074"/>
    <w:p w:rsidR="00D30E72" w:rsidRDefault="00D30E72" w:rsidP="000F2074"/>
    <w:p w:rsidR="00D30E72" w:rsidRDefault="00D30E72" w:rsidP="000F2074"/>
    <w:p w:rsidR="00D30E72" w:rsidRDefault="00D30E72" w:rsidP="000F2074"/>
    <w:tbl>
      <w:tblPr>
        <w:tblW w:w="5222" w:type="pct"/>
        <w:tblLook w:val="04A0" w:firstRow="1" w:lastRow="0" w:firstColumn="1" w:lastColumn="0" w:noHBand="0" w:noVBand="1"/>
      </w:tblPr>
      <w:tblGrid>
        <w:gridCol w:w="1283"/>
        <w:gridCol w:w="1169"/>
        <w:gridCol w:w="681"/>
        <w:gridCol w:w="680"/>
        <w:gridCol w:w="702"/>
        <w:gridCol w:w="702"/>
        <w:gridCol w:w="680"/>
        <w:gridCol w:w="680"/>
        <w:gridCol w:w="702"/>
        <w:gridCol w:w="680"/>
        <w:gridCol w:w="680"/>
        <w:gridCol w:w="680"/>
        <w:gridCol w:w="682"/>
      </w:tblGrid>
      <w:tr w:rsidR="00D30E72" w:rsidTr="00D30E72">
        <w:trPr>
          <w:trHeight w:val="322"/>
        </w:trPr>
        <w:tc>
          <w:tcPr>
            <w:tcW w:w="4999" w:type="pct"/>
            <w:gridSpan w:val="13"/>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D30E72" w:rsidRDefault="00D30E72">
            <w:pPr>
              <w:jc w:val="center"/>
              <w:rPr>
                <w:rFonts w:ascii="Arial" w:hAnsi="Arial" w:cs="Arial"/>
                <w:b/>
                <w:bCs/>
              </w:rPr>
            </w:pPr>
            <w:r>
              <w:rPr>
                <w:rFonts w:ascii="Arial" w:hAnsi="Arial" w:cs="Arial"/>
                <w:b/>
                <w:bCs/>
              </w:rPr>
              <w:t>Forcible Rape</w:t>
            </w:r>
          </w:p>
        </w:tc>
      </w:tr>
      <w:tr w:rsidR="00D30E72" w:rsidTr="00D30E72">
        <w:trPr>
          <w:trHeight w:val="32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rPr>
            </w:pPr>
            <w:r>
              <w:rPr>
                <w:rFonts w:ascii="Arial" w:hAnsi="Arial" w:cs="Arial"/>
                <w:b/>
                <w:bCs/>
              </w:rPr>
              <w:t> </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10Yr Avg.</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2006</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2009</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2013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2016</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January</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February</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March</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April</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May</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June</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July</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August</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September</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October</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November</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December</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Total</w:t>
            </w:r>
          </w:p>
        </w:tc>
        <w:tc>
          <w:tcPr>
            <w:tcW w:w="584"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25</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26</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20</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18</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24</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31</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18</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22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22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23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42</w:t>
            </w:r>
          </w:p>
        </w:tc>
      </w:tr>
      <w:tr w:rsidR="00D30E72" w:rsidTr="00D30E72">
        <w:trPr>
          <w:trHeight w:val="272"/>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 of ∆</w:t>
            </w:r>
          </w:p>
        </w:tc>
        <w:tc>
          <w:tcPr>
            <w:tcW w:w="584" w:type="pct"/>
            <w:tcBorders>
              <w:top w:val="nil"/>
              <w:left w:val="nil"/>
              <w:bottom w:val="single" w:sz="4" w:space="0" w:color="auto"/>
              <w:right w:val="single" w:sz="4" w:space="0" w:color="auto"/>
            </w:tcBorders>
            <w:shd w:val="clear" w:color="000000" w:fill="000000"/>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 </w:t>
            </w:r>
          </w:p>
        </w:tc>
        <w:tc>
          <w:tcPr>
            <w:tcW w:w="340" w:type="pct"/>
            <w:tcBorders>
              <w:top w:val="nil"/>
              <w:left w:val="nil"/>
              <w:bottom w:val="single" w:sz="4" w:space="0" w:color="auto"/>
              <w:right w:val="single" w:sz="4" w:space="0" w:color="auto"/>
            </w:tcBorders>
            <w:shd w:val="clear" w:color="000000" w:fill="000000"/>
            <w:noWrap/>
            <w:vAlign w:val="bottom"/>
            <w:hideMark/>
          </w:tcPr>
          <w:p w:rsidR="00D30E72" w:rsidRDefault="00D30E72">
            <w:pPr>
              <w:jc w:val="center"/>
              <w:rPr>
                <w:rFonts w:ascii="Arial" w:hAnsi="Arial" w:cs="Arial"/>
                <w:b/>
                <w:bCs/>
                <w:sz w:val="20"/>
                <w:szCs w:val="20"/>
              </w:rPr>
            </w:pP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33%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-42%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83%</w:t>
            </w:r>
          </w:p>
        </w:tc>
      </w:tr>
    </w:tbl>
    <w:p w:rsidR="00D30E72" w:rsidRDefault="00D30E72" w:rsidP="000F2074"/>
    <w:p w:rsidR="00D30E72" w:rsidRDefault="00D30E72" w:rsidP="000F2074"/>
    <w:p w:rsidR="00D30E72" w:rsidRDefault="00D30E72" w:rsidP="000F2074">
      <w:r>
        <w:rPr>
          <w:noProof/>
        </w:rPr>
        <w:drawing>
          <wp:inline distT="0" distB="0" distL="0" distR="0" wp14:anchorId="41CD3A0B" wp14:editId="317D1E9E">
            <wp:extent cx="6221506" cy="4096870"/>
            <wp:effectExtent l="0" t="0" r="27305" b="1841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30E72" w:rsidRDefault="00D30E72" w:rsidP="000F2074"/>
    <w:p w:rsidR="00D30E72" w:rsidRDefault="00D30E72" w:rsidP="000F2074"/>
    <w:p w:rsidR="00D30E72" w:rsidRDefault="00D30E72" w:rsidP="000F2074"/>
    <w:p w:rsidR="00D30E72" w:rsidRDefault="00D30E72" w:rsidP="000F2074"/>
    <w:tbl>
      <w:tblPr>
        <w:tblW w:w="5273" w:type="pct"/>
        <w:tblLook w:val="04A0" w:firstRow="1" w:lastRow="0" w:firstColumn="1" w:lastColumn="0" w:noHBand="0" w:noVBand="1"/>
      </w:tblPr>
      <w:tblGrid>
        <w:gridCol w:w="1292"/>
        <w:gridCol w:w="1177"/>
        <w:gridCol w:w="684"/>
        <w:gridCol w:w="685"/>
        <w:gridCol w:w="709"/>
        <w:gridCol w:w="709"/>
        <w:gridCol w:w="709"/>
        <w:gridCol w:w="685"/>
        <w:gridCol w:w="709"/>
        <w:gridCol w:w="685"/>
        <w:gridCol w:w="685"/>
        <w:gridCol w:w="685"/>
        <w:gridCol w:w="685"/>
      </w:tblGrid>
      <w:tr w:rsidR="00D30E72" w:rsidTr="00D30E72">
        <w:trPr>
          <w:trHeight w:val="318"/>
        </w:trPr>
        <w:tc>
          <w:tcPr>
            <w:tcW w:w="5000" w:type="pct"/>
            <w:gridSpan w:val="13"/>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D30E72" w:rsidRDefault="00D30E72">
            <w:pPr>
              <w:jc w:val="center"/>
              <w:rPr>
                <w:rFonts w:ascii="Arial" w:hAnsi="Arial" w:cs="Arial"/>
                <w:b/>
                <w:bCs/>
              </w:rPr>
            </w:pPr>
            <w:r>
              <w:rPr>
                <w:rFonts w:ascii="Arial" w:hAnsi="Arial" w:cs="Arial"/>
                <w:b/>
                <w:bCs/>
              </w:rPr>
              <w:t>Robbery</w:t>
            </w:r>
          </w:p>
        </w:tc>
      </w:tr>
      <w:tr w:rsidR="00D30E72" w:rsidTr="00D30E72">
        <w:trPr>
          <w:trHeight w:val="318"/>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rPr>
            </w:pPr>
            <w:r>
              <w:rPr>
                <w:rFonts w:ascii="Arial" w:hAnsi="Arial" w:cs="Arial"/>
                <w:b/>
                <w:bCs/>
              </w:rPr>
              <w:t> </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10Yr Avg.</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2010</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2011</w:t>
            </w:r>
          </w:p>
        </w:tc>
        <w:tc>
          <w:tcPr>
            <w:tcW w:w="351" w:type="pct"/>
            <w:tcBorders>
              <w:top w:val="nil"/>
              <w:left w:val="nil"/>
              <w:bottom w:val="nil"/>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2016</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January</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1" w:type="pct"/>
            <w:tcBorders>
              <w:top w:val="single" w:sz="4" w:space="0" w:color="auto"/>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February</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8</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March</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19</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April</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May</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June</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July</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7</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August</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September</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October</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20</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November</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8</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December</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14</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Total</w:t>
            </w:r>
          </w:p>
        </w:tc>
        <w:tc>
          <w:tcPr>
            <w:tcW w:w="583"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103</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149</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165</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122</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91</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68</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105</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75</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81</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90</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86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102</w:t>
            </w:r>
          </w:p>
        </w:tc>
      </w:tr>
      <w:tr w:rsidR="00D30E72" w:rsidTr="00D30E72">
        <w:trPr>
          <w:trHeight w:val="269"/>
        </w:trPr>
        <w:tc>
          <w:tcPr>
            <w:tcW w:w="640"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 of ∆</w:t>
            </w:r>
          </w:p>
        </w:tc>
        <w:tc>
          <w:tcPr>
            <w:tcW w:w="583" w:type="pct"/>
            <w:tcBorders>
              <w:top w:val="nil"/>
              <w:left w:val="nil"/>
              <w:bottom w:val="single" w:sz="4" w:space="0" w:color="auto"/>
              <w:right w:val="single" w:sz="4" w:space="0" w:color="auto"/>
            </w:tcBorders>
            <w:shd w:val="clear" w:color="000000" w:fill="000000"/>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 </w:t>
            </w:r>
          </w:p>
        </w:tc>
        <w:tc>
          <w:tcPr>
            <w:tcW w:w="339" w:type="pct"/>
            <w:tcBorders>
              <w:top w:val="nil"/>
              <w:left w:val="nil"/>
              <w:bottom w:val="single" w:sz="4" w:space="0" w:color="auto"/>
              <w:right w:val="single" w:sz="4" w:space="0" w:color="auto"/>
            </w:tcBorders>
            <w:shd w:val="clear" w:color="000000" w:fill="000000"/>
            <w:noWrap/>
            <w:vAlign w:val="bottom"/>
            <w:hideMark/>
          </w:tcPr>
          <w:p w:rsidR="00D30E72" w:rsidRDefault="00D30E72">
            <w:pPr>
              <w:jc w:val="center"/>
              <w:rPr>
                <w:rFonts w:ascii="Arial" w:hAnsi="Arial" w:cs="Arial"/>
                <w:b/>
                <w:bCs/>
                <w:sz w:val="20"/>
                <w:szCs w:val="20"/>
              </w:rPr>
            </w:pP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54%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19%</w:t>
            </w:r>
          </w:p>
        </w:tc>
      </w:tr>
    </w:tbl>
    <w:p w:rsidR="00D30E72" w:rsidRDefault="00D30E72" w:rsidP="000F2074"/>
    <w:p w:rsidR="00D30E72" w:rsidRDefault="00D30E72" w:rsidP="000F2074"/>
    <w:p w:rsidR="00D30E72" w:rsidRDefault="00D30E72" w:rsidP="000F2074">
      <w:r>
        <w:rPr>
          <w:noProof/>
        </w:rPr>
        <w:drawing>
          <wp:inline distT="0" distB="0" distL="0" distR="0" wp14:anchorId="2A8BC542" wp14:editId="1893AE16">
            <wp:extent cx="6293224" cy="4105835"/>
            <wp:effectExtent l="0" t="0" r="12700"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30E72" w:rsidRDefault="00D30E72" w:rsidP="000F2074"/>
    <w:p w:rsidR="00D30E72" w:rsidRDefault="00D30E72" w:rsidP="000F2074"/>
    <w:p w:rsidR="00D30E72" w:rsidRDefault="00D30E72" w:rsidP="000F2074"/>
    <w:p w:rsidR="00D30E72" w:rsidRDefault="00D30E72" w:rsidP="000F2074"/>
    <w:tbl>
      <w:tblPr>
        <w:tblW w:w="5155" w:type="pct"/>
        <w:tblLook w:val="04A0" w:firstRow="1" w:lastRow="0" w:firstColumn="1" w:lastColumn="0" w:noHBand="0" w:noVBand="1"/>
      </w:tblPr>
      <w:tblGrid>
        <w:gridCol w:w="1259"/>
        <w:gridCol w:w="1146"/>
        <w:gridCol w:w="670"/>
        <w:gridCol w:w="669"/>
        <w:gridCol w:w="691"/>
        <w:gridCol w:w="691"/>
        <w:gridCol w:w="669"/>
        <w:gridCol w:w="691"/>
        <w:gridCol w:w="669"/>
        <w:gridCol w:w="669"/>
        <w:gridCol w:w="691"/>
        <w:gridCol w:w="669"/>
        <w:gridCol w:w="689"/>
      </w:tblGrid>
      <w:tr w:rsidR="00D30E72" w:rsidTr="00D30E72">
        <w:trPr>
          <w:trHeight w:val="316"/>
        </w:trPr>
        <w:tc>
          <w:tcPr>
            <w:tcW w:w="4999" w:type="pct"/>
            <w:gridSpan w:val="13"/>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D30E72" w:rsidRDefault="00D30E72">
            <w:pPr>
              <w:jc w:val="center"/>
              <w:rPr>
                <w:rFonts w:ascii="Arial" w:hAnsi="Arial" w:cs="Arial"/>
                <w:b/>
                <w:bCs/>
              </w:rPr>
            </w:pPr>
            <w:r>
              <w:rPr>
                <w:rFonts w:ascii="Arial" w:hAnsi="Arial" w:cs="Arial"/>
                <w:b/>
                <w:bCs/>
              </w:rPr>
              <w:t>Aggravated Assault</w:t>
            </w:r>
          </w:p>
        </w:tc>
      </w:tr>
      <w:tr w:rsidR="00D30E72" w:rsidTr="00D30E72">
        <w:trPr>
          <w:trHeight w:val="316"/>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rPr>
            </w:pPr>
            <w:r>
              <w:rPr>
                <w:rFonts w:ascii="Arial" w:hAnsi="Arial" w:cs="Arial"/>
                <w:b/>
                <w:bCs/>
              </w:rPr>
              <w:t> </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10Yr Avg.</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2008</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2010</w:t>
            </w:r>
          </w:p>
        </w:tc>
        <w:tc>
          <w:tcPr>
            <w:tcW w:w="350" w:type="pct"/>
            <w:tcBorders>
              <w:top w:val="nil"/>
              <w:left w:val="nil"/>
              <w:bottom w:val="nil"/>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2013</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2015</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2016</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January</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14</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7</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11</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February</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March</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April</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10</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May</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8</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June</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11</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 xml:space="preserve">July </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13</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7</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August</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13</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September</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18</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19</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October</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12</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7</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November</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21</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December</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5</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0</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15</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Total</w:t>
            </w:r>
          </w:p>
        </w:tc>
        <w:tc>
          <w:tcPr>
            <w:tcW w:w="58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71</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89</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122</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71</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36</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64</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42</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57</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84</w:t>
            </w:r>
          </w:p>
        </w:tc>
        <w:tc>
          <w:tcPr>
            <w:tcW w:w="35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61</w:t>
            </w:r>
          </w:p>
        </w:tc>
        <w:tc>
          <w:tcPr>
            <w:tcW w:w="339"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82</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68</w:t>
            </w:r>
          </w:p>
        </w:tc>
      </w:tr>
      <w:tr w:rsidR="00D30E72" w:rsidTr="00D30E72">
        <w:trPr>
          <w:trHeight w:val="267"/>
        </w:trPr>
        <w:tc>
          <w:tcPr>
            <w:tcW w:w="637"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 of ∆</w:t>
            </w:r>
          </w:p>
        </w:tc>
        <w:tc>
          <w:tcPr>
            <w:tcW w:w="580" w:type="pct"/>
            <w:tcBorders>
              <w:top w:val="nil"/>
              <w:left w:val="nil"/>
              <w:bottom w:val="single" w:sz="4" w:space="0" w:color="auto"/>
              <w:right w:val="single" w:sz="4" w:space="0" w:color="auto"/>
            </w:tcBorders>
            <w:shd w:val="clear" w:color="000000" w:fill="000000"/>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 </w:t>
            </w:r>
          </w:p>
        </w:tc>
        <w:tc>
          <w:tcPr>
            <w:tcW w:w="339" w:type="pct"/>
            <w:tcBorders>
              <w:top w:val="nil"/>
              <w:left w:val="nil"/>
              <w:bottom w:val="single" w:sz="4" w:space="0" w:color="auto"/>
              <w:right w:val="single" w:sz="4" w:space="0" w:color="auto"/>
            </w:tcBorders>
            <w:shd w:val="clear" w:color="000000" w:fill="000000"/>
            <w:noWrap/>
            <w:vAlign w:val="bottom"/>
            <w:hideMark/>
          </w:tcPr>
          <w:p w:rsidR="00D30E72" w:rsidRDefault="00D30E72">
            <w:pPr>
              <w:jc w:val="center"/>
              <w:rPr>
                <w:rFonts w:ascii="Arial" w:hAnsi="Arial" w:cs="Arial"/>
                <w:b/>
                <w:bCs/>
                <w:sz w:val="20"/>
                <w:szCs w:val="20"/>
              </w:rPr>
            </w:pP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37%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-42%</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-49%</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78%</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-34%</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36%</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47%</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-27%</w:t>
            </w:r>
          </w:p>
        </w:tc>
        <w:tc>
          <w:tcPr>
            <w:tcW w:w="339"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34%</w:t>
            </w:r>
          </w:p>
        </w:tc>
        <w:tc>
          <w:tcPr>
            <w:tcW w:w="35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-17%</w:t>
            </w:r>
          </w:p>
        </w:tc>
      </w:tr>
    </w:tbl>
    <w:p w:rsidR="00D30E72" w:rsidRDefault="00D30E72" w:rsidP="000F2074"/>
    <w:p w:rsidR="00D30E72" w:rsidRDefault="00D30E72" w:rsidP="000F2074"/>
    <w:p w:rsidR="00D30E72" w:rsidRDefault="00D30E72" w:rsidP="000F2074">
      <w:r>
        <w:rPr>
          <w:noProof/>
        </w:rPr>
        <w:drawing>
          <wp:inline distT="0" distB="0" distL="0" distR="0" wp14:anchorId="4EBCC0FD" wp14:editId="4B22901E">
            <wp:extent cx="6221506" cy="4195483"/>
            <wp:effectExtent l="0" t="0" r="27305" b="1460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30E72" w:rsidRDefault="00D30E72" w:rsidP="000F2074"/>
    <w:p w:rsidR="00D30E72" w:rsidRDefault="00D30E72" w:rsidP="000F2074"/>
    <w:p w:rsidR="00D30E72" w:rsidRDefault="00D30E72" w:rsidP="000F2074">
      <w:pPr>
        <w:rPr>
          <w:i/>
        </w:rPr>
      </w:pPr>
    </w:p>
    <w:p w:rsidR="00251301" w:rsidRDefault="00251301" w:rsidP="000F2074">
      <w:pPr>
        <w:rPr>
          <w:i/>
        </w:rPr>
      </w:pPr>
    </w:p>
    <w:tbl>
      <w:tblPr>
        <w:tblW w:w="5192" w:type="pct"/>
        <w:tblLook w:val="04A0" w:firstRow="1" w:lastRow="0" w:firstColumn="1" w:lastColumn="0" w:noHBand="0" w:noVBand="1"/>
      </w:tblPr>
      <w:tblGrid>
        <w:gridCol w:w="1280"/>
        <w:gridCol w:w="1168"/>
        <w:gridCol w:w="678"/>
        <w:gridCol w:w="678"/>
        <w:gridCol w:w="702"/>
        <w:gridCol w:w="678"/>
        <w:gridCol w:w="678"/>
        <w:gridCol w:w="678"/>
        <w:gridCol w:w="678"/>
        <w:gridCol w:w="678"/>
        <w:gridCol w:w="678"/>
        <w:gridCol w:w="678"/>
        <w:gridCol w:w="692"/>
      </w:tblGrid>
      <w:tr w:rsidR="00251301" w:rsidTr="00251301">
        <w:trPr>
          <w:trHeight w:val="311"/>
        </w:trPr>
        <w:tc>
          <w:tcPr>
            <w:tcW w:w="5000" w:type="pct"/>
            <w:gridSpan w:val="13"/>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251301" w:rsidRDefault="00251301">
            <w:pPr>
              <w:jc w:val="center"/>
              <w:rPr>
                <w:rFonts w:ascii="Arial" w:hAnsi="Arial" w:cs="Arial"/>
                <w:b/>
                <w:bCs/>
              </w:rPr>
            </w:pPr>
            <w:r>
              <w:rPr>
                <w:rFonts w:ascii="Arial" w:hAnsi="Arial" w:cs="Arial"/>
                <w:b/>
                <w:bCs/>
              </w:rPr>
              <w:t>Property Crimes</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sz w:val="20"/>
                <w:szCs w:val="20"/>
              </w:rPr>
            </w:pPr>
            <w:r>
              <w:rPr>
                <w:rFonts w:ascii="Arial" w:hAnsi="Arial" w:cs="Arial"/>
                <w:sz w:val="20"/>
                <w:szCs w:val="20"/>
              </w:rPr>
              <w:t> </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10Yr Avg.</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2007</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2008</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2009</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2010</w:t>
            </w:r>
          </w:p>
        </w:tc>
        <w:tc>
          <w:tcPr>
            <w:tcW w:w="341" w:type="pct"/>
            <w:tcBorders>
              <w:top w:val="nil"/>
              <w:left w:val="nil"/>
              <w:bottom w:val="nil"/>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2012</w:t>
            </w:r>
          </w:p>
        </w:tc>
        <w:tc>
          <w:tcPr>
            <w:tcW w:w="341" w:type="pct"/>
            <w:tcBorders>
              <w:top w:val="nil"/>
              <w:left w:val="nil"/>
              <w:bottom w:val="nil"/>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2014</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2015</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2016</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January</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312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320</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368</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376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314</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287</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237</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314</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301</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261</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345</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250</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February</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251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265</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382</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282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236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218</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211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214</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222</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243</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236</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230</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March</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302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381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466</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246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279</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251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201</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267</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304</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290</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April</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341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390</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517</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384</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310</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285</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388</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274</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272</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286</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279</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May</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365</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470</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517</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359</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295</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379</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383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328</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283</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311</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324</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June</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362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433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506</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379</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357</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421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289</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307</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307</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339</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278</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334</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July</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376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482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458</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398</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353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377</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337</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368</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328</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330</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370</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August</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363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521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459</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316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300</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309</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428</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330</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325</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314</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324</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361</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September</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340</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491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373</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330</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342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351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265</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323</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336</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267</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388</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October</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358</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572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402</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304</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274</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350</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269</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347</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354</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379</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336</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November</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312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425</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364</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237</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292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295</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308</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286</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305</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288</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358</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December</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327</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462</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373</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306</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271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297</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308</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306</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336</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306</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335</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Total</w:t>
            </w:r>
          </w:p>
        </w:tc>
        <w:tc>
          <w:tcPr>
            <w:tcW w:w="587"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4010</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5212</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5185</w:t>
            </w:r>
          </w:p>
        </w:tc>
        <w:tc>
          <w:tcPr>
            <w:tcW w:w="353"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3997</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3687</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3719</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3692</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3726</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3588</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3638</w:t>
            </w:r>
          </w:p>
        </w:tc>
        <w:tc>
          <w:tcPr>
            <w:tcW w:w="34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3654</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3855</w:t>
            </w:r>
          </w:p>
        </w:tc>
      </w:tr>
      <w:tr w:rsidR="00251301" w:rsidTr="00251301">
        <w:trPr>
          <w:trHeight w:val="264"/>
        </w:trPr>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 of ∆</w:t>
            </w:r>
          </w:p>
        </w:tc>
        <w:tc>
          <w:tcPr>
            <w:tcW w:w="587" w:type="pct"/>
            <w:tcBorders>
              <w:top w:val="nil"/>
              <w:left w:val="nil"/>
              <w:bottom w:val="single" w:sz="4" w:space="0" w:color="auto"/>
              <w:right w:val="single" w:sz="4" w:space="0" w:color="auto"/>
            </w:tcBorders>
            <w:shd w:val="clear" w:color="000000" w:fill="000000"/>
            <w:noWrap/>
            <w:vAlign w:val="bottom"/>
            <w:hideMark/>
          </w:tcPr>
          <w:p w:rsidR="00251301" w:rsidRDefault="00251301">
            <w:pPr>
              <w:rPr>
                <w:rFonts w:ascii="Arial" w:hAnsi="Arial" w:cs="Arial"/>
                <w:sz w:val="20"/>
                <w:szCs w:val="20"/>
              </w:rPr>
            </w:pPr>
            <w:r>
              <w:rPr>
                <w:rFonts w:ascii="Arial" w:hAnsi="Arial" w:cs="Arial"/>
                <w:sz w:val="20"/>
                <w:szCs w:val="20"/>
              </w:rPr>
              <w:t> </w:t>
            </w:r>
          </w:p>
        </w:tc>
        <w:tc>
          <w:tcPr>
            <w:tcW w:w="341" w:type="pct"/>
            <w:tcBorders>
              <w:top w:val="nil"/>
              <w:left w:val="nil"/>
              <w:bottom w:val="single" w:sz="4" w:space="0" w:color="auto"/>
              <w:right w:val="single" w:sz="4" w:space="0" w:color="auto"/>
            </w:tcBorders>
            <w:shd w:val="clear" w:color="000000" w:fill="000000"/>
            <w:noWrap/>
            <w:vAlign w:val="bottom"/>
            <w:hideMark/>
          </w:tcPr>
          <w:p w:rsidR="00251301" w:rsidRDefault="00251301">
            <w:pPr>
              <w:jc w:val="center"/>
              <w:rPr>
                <w:rFonts w:ascii="Arial" w:hAnsi="Arial" w:cs="Arial"/>
                <w:b/>
                <w:bCs/>
                <w:sz w:val="20"/>
                <w:szCs w:val="20"/>
              </w:rPr>
            </w:pP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w:t>
            </w:r>
          </w:p>
        </w:tc>
        <w:tc>
          <w:tcPr>
            <w:tcW w:w="35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-23%</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-8%</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-4%</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w:t>
            </w:r>
          </w:p>
        </w:tc>
        <w:tc>
          <w:tcPr>
            <w:tcW w:w="34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0%</w:t>
            </w:r>
          </w:p>
        </w:tc>
        <w:tc>
          <w:tcPr>
            <w:tcW w:w="348"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6%</w:t>
            </w:r>
          </w:p>
        </w:tc>
      </w:tr>
    </w:tbl>
    <w:p w:rsidR="00D30E72" w:rsidRDefault="00D30E72" w:rsidP="000F2074">
      <w:pPr>
        <w:rPr>
          <w:i/>
        </w:rPr>
      </w:pPr>
    </w:p>
    <w:p w:rsidR="00251301" w:rsidRDefault="00251301" w:rsidP="000F2074">
      <w:pPr>
        <w:rPr>
          <w:i/>
        </w:rPr>
      </w:pPr>
    </w:p>
    <w:p w:rsidR="00251301" w:rsidRDefault="00251301" w:rsidP="000F2074">
      <w:pPr>
        <w:rPr>
          <w:i/>
        </w:rPr>
      </w:pPr>
      <w:r>
        <w:rPr>
          <w:noProof/>
        </w:rPr>
        <w:drawing>
          <wp:inline distT="0" distB="0" distL="0" distR="0" wp14:anchorId="56CFA3B3" wp14:editId="3D9DE6B6">
            <wp:extent cx="6239435" cy="4276165"/>
            <wp:effectExtent l="0" t="0" r="9525" b="1016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51301" w:rsidRDefault="00251301" w:rsidP="000F2074">
      <w:pPr>
        <w:rPr>
          <w:i/>
        </w:rPr>
      </w:pPr>
    </w:p>
    <w:p w:rsidR="00251301" w:rsidRDefault="00251301" w:rsidP="000F2074">
      <w:pPr>
        <w:rPr>
          <w:i/>
        </w:rPr>
      </w:pPr>
    </w:p>
    <w:p w:rsidR="00251301" w:rsidRDefault="00251301" w:rsidP="000F2074">
      <w:pPr>
        <w:rPr>
          <w:i/>
        </w:rPr>
      </w:pPr>
    </w:p>
    <w:p w:rsidR="00251301" w:rsidRDefault="00251301" w:rsidP="000F2074">
      <w:pPr>
        <w:rPr>
          <w:i/>
        </w:rPr>
      </w:pPr>
    </w:p>
    <w:p w:rsidR="00251301" w:rsidRDefault="00251301" w:rsidP="000F2074">
      <w:pPr>
        <w:rPr>
          <w:i/>
        </w:rPr>
      </w:pPr>
    </w:p>
    <w:tbl>
      <w:tblPr>
        <w:tblW w:w="5206" w:type="pct"/>
        <w:tblLook w:val="04A0" w:firstRow="1" w:lastRow="0" w:firstColumn="1" w:lastColumn="0" w:noHBand="0" w:noVBand="1"/>
      </w:tblPr>
      <w:tblGrid>
        <w:gridCol w:w="1280"/>
        <w:gridCol w:w="1167"/>
        <w:gridCol w:w="678"/>
        <w:gridCol w:w="700"/>
        <w:gridCol w:w="700"/>
        <w:gridCol w:w="678"/>
        <w:gridCol w:w="678"/>
        <w:gridCol w:w="678"/>
        <w:gridCol w:w="678"/>
        <w:gridCol w:w="700"/>
        <w:gridCol w:w="678"/>
        <w:gridCol w:w="678"/>
        <w:gridCol w:w="678"/>
      </w:tblGrid>
      <w:tr w:rsidR="00D30E72" w:rsidTr="00D30E72">
        <w:trPr>
          <w:trHeight w:val="312"/>
        </w:trPr>
        <w:tc>
          <w:tcPr>
            <w:tcW w:w="4999" w:type="pct"/>
            <w:gridSpan w:val="13"/>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D30E72" w:rsidRDefault="00D30E72">
            <w:pPr>
              <w:jc w:val="center"/>
              <w:rPr>
                <w:rFonts w:ascii="Arial" w:hAnsi="Arial" w:cs="Arial"/>
                <w:b/>
                <w:bCs/>
              </w:rPr>
            </w:pPr>
            <w:r>
              <w:rPr>
                <w:rFonts w:ascii="Arial" w:hAnsi="Arial" w:cs="Arial"/>
                <w:b/>
                <w:bCs/>
              </w:rPr>
              <w:t>Burglary</w:t>
            </w:r>
          </w:p>
        </w:tc>
      </w:tr>
      <w:tr w:rsidR="00D30E72" w:rsidTr="00D30E72">
        <w:trPr>
          <w:trHeight w:val="312"/>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rPr>
            </w:pPr>
            <w:r>
              <w:rPr>
                <w:rFonts w:ascii="Arial" w:hAnsi="Arial" w:cs="Arial"/>
                <w:b/>
                <w:bCs/>
              </w:rPr>
              <w:t> </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10Yr Avg.</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2008</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2009</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2016</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January</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76</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45</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90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36</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February</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54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58</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48</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39</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27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35</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March</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138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76</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58</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58</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38</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April</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165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93</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61</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39</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43</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May</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88</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145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126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68</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47</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52</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June</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111</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127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86</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65</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64</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54</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July</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136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57</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49</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69</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August</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91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185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59</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57</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58</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70</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September</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81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132</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89</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82</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48</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37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63</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October</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78</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137</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93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39</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57</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55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58</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November</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148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76</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61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89</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43</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60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73</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December</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79</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118</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88</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103</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80</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89</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74</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48</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75</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sz w:val="20"/>
                <w:szCs w:val="20"/>
              </w:rPr>
            </w:pPr>
            <w:r>
              <w:rPr>
                <w:rFonts w:ascii="Arial" w:hAnsi="Arial" w:cs="Arial"/>
                <w:sz w:val="20"/>
                <w:szCs w:val="20"/>
              </w:rPr>
              <w:t>41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sz w:val="20"/>
                <w:szCs w:val="20"/>
              </w:rPr>
            </w:pPr>
            <w:r>
              <w:rPr>
                <w:rFonts w:ascii="Arial" w:hAnsi="Arial" w:cs="Arial"/>
                <w:sz w:val="20"/>
                <w:szCs w:val="20"/>
              </w:rPr>
              <w:t>59</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Total</w:t>
            </w:r>
          </w:p>
        </w:tc>
        <w:tc>
          <w:tcPr>
            <w:tcW w:w="585"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944</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1429</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1286</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946</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990</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927</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994</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948</w:t>
            </w:r>
          </w:p>
        </w:tc>
        <w:tc>
          <w:tcPr>
            <w:tcW w:w="351"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687</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622</w:t>
            </w:r>
          </w:p>
        </w:tc>
        <w:tc>
          <w:tcPr>
            <w:tcW w:w="340" w:type="pct"/>
            <w:tcBorders>
              <w:top w:val="nil"/>
              <w:left w:val="nil"/>
              <w:bottom w:val="single" w:sz="4" w:space="0" w:color="auto"/>
              <w:right w:val="single" w:sz="4" w:space="0" w:color="auto"/>
            </w:tcBorders>
            <w:shd w:val="clear" w:color="auto" w:fill="auto"/>
            <w:noWrap/>
            <w:vAlign w:val="center"/>
            <w:hideMark/>
          </w:tcPr>
          <w:p w:rsidR="00D30E72" w:rsidRDefault="00D30E72">
            <w:pPr>
              <w:jc w:val="center"/>
              <w:rPr>
                <w:rFonts w:ascii="Arial" w:hAnsi="Arial" w:cs="Arial"/>
                <w:b/>
                <w:bCs/>
                <w:sz w:val="20"/>
                <w:szCs w:val="20"/>
              </w:rPr>
            </w:pPr>
            <w:r>
              <w:rPr>
                <w:rFonts w:ascii="Arial" w:hAnsi="Arial" w:cs="Arial"/>
                <w:b/>
                <w:bCs/>
                <w:sz w:val="20"/>
                <w:szCs w:val="20"/>
              </w:rPr>
              <w:t>614</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650</w:t>
            </w:r>
          </w:p>
        </w:tc>
      </w:tr>
      <w:tr w:rsidR="00D30E72" w:rsidTr="00D30E72">
        <w:trPr>
          <w:trHeight w:val="265"/>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D30E72" w:rsidRDefault="00D30E72">
            <w:pPr>
              <w:rPr>
                <w:rFonts w:ascii="Arial" w:hAnsi="Arial" w:cs="Arial"/>
                <w:b/>
                <w:bCs/>
                <w:sz w:val="20"/>
                <w:szCs w:val="20"/>
              </w:rPr>
            </w:pPr>
            <w:r>
              <w:rPr>
                <w:rFonts w:ascii="Arial" w:hAnsi="Arial" w:cs="Arial"/>
                <w:b/>
                <w:bCs/>
                <w:sz w:val="20"/>
                <w:szCs w:val="20"/>
              </w:rPr>
              <w:t>% of ∆</w:t>
            </w:r>
          </w:p>
        </w:tc>
        <w:tc>
          <w:tcPr>
            <w:tcW w:w="585" w:type="pct"/>
            <w:tcBorders>
              <w:top w:val="nil"/>
              <w:left w:val="nil"/>
              <w:bottom w:val="single" w:sz="4" w:space="0" w:color="auto"/>
              <w:right w:val="single" w:sz="4" w:space="0" w:color="auto"/>
            </w:tcBorders>
            <w:shd w:val="clear" w:color="000000" w:fill="000000"/>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 </w:t>
            </w:r>
          </w:p>
        </w:tc>
        <w:tc>
          <w:tcPr>
            <w:tcW w:w="340" w:type="pct"/>
            <w:tcBorders>
              <w:top w:val="nil"/>
              <w:left w:val="nil"/>
              <w:bottom w:val="single" w:sz="4" w:space="0" w:color="auto"/>
              <w:right w:val="single" w:sz="4" w:space="0" w:color="auto"/>
            </w:tcBorders>
            <w:shd w:val="clear" w:color="000000" w:fill="000000"/>
            <w:noWrap/>
            <w:vAlign w:val="bottom"/>
            <w:hideMark/>
          </w:tcPr>
          <w:p w:rsidR="00D30E72" w:rsidRDefault="00D30E72">
            <w:pPr>
              <w:jc w:val="center"/>
              <w:rPr>
                <w:rFonts w:ascii="Arial" w:hAnsi="Arial" w:cs="Arial"/>
                <w:b/>
                <w:bCs/>
                <w:sz w:val="20"/>
                <w:szCs w:val="20"/>
              </w:rPr>
            </w:pP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-10%</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-26%</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5%</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7%</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-5%</w:t>
            </w:r>
          </w:p>
        </w:tc>
        <w:tc>
          <w:tcPr>
            <w:tcW w:w="351"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-28%</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-1%</w:t>
            </w:r>
          </w:p>
        </w:tc>
        <w:tc>
          <w:tcPr>
            <w:tcW w:w="340" w:type="pct"/>
            <w:tcBorders>
              <w:top w:val="nil"/>
              <w:left w:val="nil"/>
              <w:bottom w:val="single" w:sz="4" w:space="0" w:color="auto"/>
              <w:right w:val="single" w:sz="4" w:space="0" w:color="auto"/>
            </w:tcBorders>
            <w:shd w:val="clear" w:color="auto" w:fill="auto"/>
            <w:noWrap/>
            <w:vAlign w:val="bottom"/>
            <w:hideMark/>
          </w:tcPr>
          <w:p w:rsidR="00D30E72" w:rsidRDefault="00D30E72">
            <w:pPr>
              <w:jc w:val="center"/>
              <w:rPr>
                <w:rFonts w:ascii="Arial" w:hAnsi="Arial" w:cs="Arial"/>
                <w:b/>
                <w:bCs/>
                <w:sz w:val="20"/>
                <w:szCs w:val="20"/>
              </w:rPr>
            </w:pPr>
            <w:r>
              <w:rPr>
                <w:rFonts w:ascii="Arial" w:hAnsi="Arial" w:cs="Arial"/>
                <w:b/>
                <w:bCs/>
                <w:sz w:val="20"/>
                <w:szCs w:val="20"/>
              </w:rPr>
              <w:t>6%</w:t>
            </w:r>
          </w:p>
        </w:tc>
      </w:tr>
    </w:tbl>
    <w:p w:rsidR="00D30E72" w:rsidRDefault="00D30E72" w:rsidP="000F2074">
      <w:pPr>
        <w:rPr>
          <w:i/>
        </w:rPr>
      </w:pPr>
    </w:p>
    <w:p w:rsidR="00D30E72" w:rsidRDefault="00D30E72" w:rsidP="000F2074">
      <w:pPr>
        <w:rPr>
          <w:i/>
        </w:rPr>
      </w:pPr>
    </w:p>
    <w:p w:rsidR="00D30E72" w:rsidRDefault="00D30E72" w:rsidP="000F2074">
      <w:pPr>
        <w:rPr>
          <w:i/>
        </w:rPr>
      </w:pPr>
      <w:r>
        <w:rPr>
          <w:noProof/>
        </w:rPr>
        <w:drawing>
          <wp:inline distT="0" distB="0" distL="0" distR="0" wp14:anchorId="0E0FB3D1" wp14:editId="3B374C8D">
            <wp:extent cx="6248400" cy="4186518"/>
            <wp:effectExtent l="0" t="0" r="19050" b="2413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51301" w:rsidRDefault="00251301" w:rsidP="000F2074">
      <w:pPr>
        <w:rPr>
          <w:i/>
        </w:rPr>
      </w:pPr>
    </w:p>
    <w:p w:rsidR="00251301" w:rsidRDefault="00251301" w:rsidP="000F2074">
      <w:pPr>
        <w:rPr>
          <w:i/>
        </w:rPr>
      </w:pPr>
    </w:p>
    <w:p w:rsidR="00251301" w:rsidRDefault="00251301" w:rsidP="000F2074">
      <w:pPr>
        <w:rPr>
          <w:i/>
        </w:rPr>
      </w:pPr>
    </w:p>
    <w:p w:rsidR="00251301" w:rsidRDefault="00251301" w:rsidP="000F2074">
      <w:pPr>
        <w:rPr>
          <w:i/>
        </w:rPr>
      </w:pPr>
    </w:p>
    <w:tbl>
      <w:tblPr>
        <w:tblW w:w="5260" w:type="pct"/>
        <w:tblLook w:val="04A0" w:firstRow="1" w:lastRow="0" w:firstColumn="1" w:lastColumn="0" w:noHBand="0" w:noVBand="1"/>
      </w:tblPr>
      <w:tblGrid>
        <w:gridCol w:w="1292"/>
        <w:gridCol w:w="1180"/>
        <w:gridCol w:w="686"/>
        <w:gridCol w:w="685"/>
        <w:gridCol w:w="707"/>
        <w:gridCol w:w="707"/>
        <w:gridCol w:w="685"/>
        <w:gridCol w:w="685"/>
        <w:gridCol w:w="685"/>
        <w:gridCol w:w="707"/>
        <w:gridCol w:w="685"/>
        <w:gridCol w:w="685"/>
        <w:gridCol w:w="685"/>
      </w:tblGrid>
      <w:tr w:rsidR="00251301" w:rsidTr="00251301">
        <w:trPr>
          <w:trHeight w:val="318"/>
        </w:trPr>
        <w:tc>
          <w:tcPr>
            <w:tcW w:w="4998" w:type="pct"/>
            <w:gridSpan w:val="13"/>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251301" w:rsidRDefault="00251301">
            <w:pPr>
              <w:jc w:val="center"/>
              <w:rPr>
                <w:rFonts w:ascii="Arial" w:hAnsi="Arial" w:cs="Arial"/>
                <w:b/>
                <w:bCs/>
              </w:rPr>
            </w:pPr>
            <w:r>
              <w:rPr>
                <w:rFonts w:ascii="Arial" w:hAnsi="Arial" w:cs="Arial"/>
                <w:b/>
                <w:bCs/>
              </w:rPr>
              <w:t>Auto Theft</w:t>
            </w:r>
          </w:p>
        </w:tc>
      </w:tr>
      <w:tr w:rsidR="00251301" w:rsidTr="00251301">
        <w:trPr>
          <w:trHeight w:val="318"/>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rPr>
            </w:pPr>
            <w:r>
              <w:rPr>
                <w:rFonts w:ascii="Arial" w:hAnsi="Arial" w:cs="Arial"/>
                <w:b/>
                <w:bCs/>
              </w:rPr>
              <w:t> </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10Yr Avg.</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2007</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2008</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2010</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2011</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2012</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2013</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2014</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2015</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2016</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January</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38</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25</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25</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15</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8</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February</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15</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31</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28</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14</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5</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20</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March</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20</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11</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5</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11</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April</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30</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15</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12</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10</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7</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15</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May</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31</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42</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22</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15</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17</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3</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7</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20</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June</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24</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36</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13</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22</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20</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July</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18</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43</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25</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14</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4</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17</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August</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42</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28</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18</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18</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11</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17</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20</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September</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32</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18</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12</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11</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October</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21</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44</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40</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23</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14</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13</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18</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26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17</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November</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27</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33</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15</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12</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7</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17</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15</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12</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December</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17</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35</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24</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17</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16</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13</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9</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16</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20</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Total</w:t>
            </w:r>
          </w:p>
        </w:tc>
        <w:tc>
          <w:tcPr>
            <w:tcW w:w="58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207</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419</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384</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227</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150</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140</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151</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161</w:t>
            </w:r>
          </w:p>
        </w:tc>
        <w:tc>
          <w:tcPr>
            <w:tcW w:w="351"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127</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143</w:t>
            </w:r>
          </w:p>
        </w:tc>
        <w:tc>
          <w:tcPr>
            <w:tcW w:w="34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170</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182</w:t>
            </w:r>
          </w:p>
        </w:tc>
      </w:tr>
      <w:tr w:rsidR="00251301" w:rsidTr="00251301">
        <w:trPr>
          <w:trHeight w:val="269"/>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 of ∆</w:t>
            </w:r>
          </w:p>
        </w:tc>
        <w:tc>
          <w:tcPr>
            <w:tcW w:w="585" w:type="pct"/>
            <w:tcBorders>
              <w:top w:val="nil"/>
              <w:left w:val="nil"/>
              <w:bottom w:val="single" w:sz="4" w:space="0" w:color="auto"/>
              <w:right w:val="single" w:sz="4" w:space="0" w:color="auto"/>
            </w:tcBorders>
            <w:shd w:val="clear" w:color="000000" w:fill="000000"/>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 </w:t>
            </w:r>
          </w:p>
        </w:tc>
        <w:tc>
          <w:tcPr>
            <w:tcW w:w="340" w:type="pct"/>
            <w:tcBorders>
              <w:top w:val="nil"/>
              <w:left w:val="nil"/>
              <w:bottom w:val="single" w:sz="4" w:space="0" w:color="auto"/>
              <w:right w:val="single" w:sz="4" w:space="0" w:color="auto"/>
            </w:tcBorders>
            <w:shd w:val="clear" w:color="000000" w:fill="000000"/>
            <w:noWrap/>
            <w:vAlign w:val="bottom"/>
            <w:hideMark/>
          </w:tcPr>
          <w:p w:rsidR="00251301" w:rsidRDefault="00251301">
            <w:pPr>
              <w:jc w:val="center"/>
              <w:rPr>
                <w:rFonts w:ascii="Arial" w:hAnsi="Arial" w:cs="Arial"/>
                <w:b/>
                <w:bCs/>
                <w:sz w:val="20"/>
                <w:szCs w:val="20"/>
              </w:rPr>
            </w:pP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-8%</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-41%</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-34%</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8%</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w:t>
            </w:r>
          </w:p>
        </w:tc>
        <w:tc>
          <w:tcPr>
            <w:tcW w:w="351"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-21%</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13%</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19%</w:t>
            </w:r>
          </w:p>
        </w:tc>
        <w:tc>
          <w:tcPr>
            <w:tcW w:w="34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w:t>
            </w:r>
          </w:p>
        </w:tc>
      </w:tr>
    </w:tbl>
    <w:p w:rsidR="00251301" w:rsidRDefault="00251301" w:rsidP="000F2074">
      <w:pPr>
        <w:rPr>
          <w:i/>
        </w:rPr>
      </w:pPr>
    </w:p>
    <w:p w:rsidR="00251301" w:rsidRDefault="00251301" w:rsidP="000F2074">
      <w:pPr>
        <w:rPr>
          <w:i/>
        </w:rPr>
      </w:pPr>
    </w:p>
    <w:p w:rsidR="00251301" w:rsidRDefault="00251301" w:rsidP="000F2074">
      <w:pPr>
        <w:rPr>
          <w:i/>
        </w:rPr>
      </w:pPr>
      <w:r>
        <w:rPr>
          <w:noProof/>
        </w:rPr>
        <w:drawing>
          <wp:inline distT="0" distB="0" distL="0" distR="0" wp14:anchorId="55523274" wp14:editId="4383840F">
            <wp:extent cx="6284259" cy="4141694"/>
            <wp:effectExtent l="0" t="0" r="21590" b="1143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251301" w:rsidRDefault="00251301" w:rsidP="000F2074">
      <w:pPr>
        <w:rPr>
          <w:i/>
        </w:rPr>
      </w:pPr>
    </w:p>
    <w:p w:rsidR="00251301" w:rsidRDefault="00251301" w:rsidP="000F2074">
      <w:pPr>
        <w:rPr>
          <w:i/>
        </w:rPr>
      </w:pPr>
    </w:p>
    <w:p w:rsidR="00251301" w:rsidRDefault="00251301" w:rsidP="000F2074">
      <w:pPr>
        <w:rPr>
          <w:i/>
        </w:rPr>
      </w:pPr>
    </w:p>
    <w:p w:rsidR="00251301" w:rsidRDefault="00251301" w:rsidP="000F2074">
      <w:pPr>
        <w:rPr>
          <w:i/>
        </w:rPr>
      </w:pPr>
    </w:p>
    <w:p w:rsidR="00251301" w:rsidRDefault="00251301" w:rsidP="000F2074">
      <w:pPr>
        <w:rPr>
          <w:i/>
        </w:rPr>
      </w:pPr>
    </w:p>
    <w:tbl>
      <w:tblPr>
        <w:tblW w:w="5243" w:type="pct"/>
        <w:tblLook w:val="04A0" w:firstRow="1" w:lastRow="0" w:firstColumn="1" w:lastColumn="0" w:noHBand="0" w:noVBand="1"/>
      </w:tblPr>
      <w:tblGrid>
        <w:gridCol w:w="1260"/>
        <w:gridCol w:w="1150"/>
        <w:gridCol w:w="783"/>
        <w:gridCol w:w="783"/>
        <w:gridCol w:w="693"/>
        <w:gridCol w:w="671"/>
        <w:gridCol w:w="671"/>
        <w:gridCol w:w="671"/>
        <w:gridCol w:w="671"/>
        <w:gridCol w:w="671"/>
        <w:gridCol w:w="671"/>
        <w:gridCol w:w="671"/>
        <w:gridCol w:w="675"/>
      </w:tblGrid>
      <w:tr w:rsidR="00251301" w:rsidTr="00274DB0">
        <w:trPr>
          <w:trHeight w:val="318"/>
        </w:trPr>
        <w:tc>
          <w:tcPr>
            <w:tcW w:w="5000" w:type="pct"/>
            <w:gridSpan w:val="13"/>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251301" w:rsidRDefault="00251301">
            <w:pPr>
              <w:jc w:val="center"/>
              <w:rPr>
                <w:rFonts w:ascii="Arial" w:hAnsi="Arial" w:cs="Arial"/>
                <w:b/>
                <w:bCs/>
              </w:rPr>
            </w:pPr>
            <w:r>
              <w:rPr>
                <w:rFonts w:ascii="Arial" w:hAnsi="Arial" w:cs="Arial"/>
                <w:b/>
                <w:bCs/>
              </w:rPr>
              <w:t>Group A Crimes</w:t>
            </w:r>
          </w:p>
        </w:tc>
      </w:tr>
      <w:tr w:rsidR="00251301" w:rsidTr="00274DB0">
        <w:trPr>
          <w:trHeight w:val="269"/>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sz w:val="20"/>
                <w:szCs w:val="20"/>
              </w:rPr>
            </w:pPr>
            <w:r>
              <w:rPr>
                <w:rFonts w:ascii="Arial" w:hAnsi="Arial" w:cs="Arial"/>
                <w:sz w:val="20"/>
                <w:szCs w:val="20"/>
              </w:rPr>
              <w:t> </w:t>
            </w:r>
          </w:p>
        </w:tc>
        <w:tc>
          <w:tcPr>
            <w:tcW w:w="573"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10Yr Avg.</w:t>
            </w:r>
          </w:p>
        </w:tc>
        <w:tc>
          <w:tcPr>
            <w:tcW w:w="390"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2006</w:t>
            </w:r>
          </w:p>
        </w:tc>
        <w:tc>
          <w:tcPr>
            <w:tcW w:w="390"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2007</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2008</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2009</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2010</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2011</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2012</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2013</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2014</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2015</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2016</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January</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708</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775</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884</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870</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749</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620</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606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623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641</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575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732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614</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February</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592</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653</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833</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673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592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509</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545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483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537</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523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573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582</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March</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707</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881</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999</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791</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681</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630</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576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638</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552</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608</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713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736</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April</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754</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955</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1042</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812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763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709</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662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688</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625</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615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668</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703</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May</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801</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1027</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1079</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830</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737</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805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695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716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700</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634</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782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816</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June</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787</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1017</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1018</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824</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757</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875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680</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671</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625</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699</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705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777</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July</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782</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967</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974</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863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761</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733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746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657</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701</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686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729</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830</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August</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783</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1029</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1003</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722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677</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758</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845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615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719</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696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766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799</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September</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742</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1043</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877</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769</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696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676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724</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573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696</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680</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690</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822</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October</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757</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1110</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837</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746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694</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622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723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565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708</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750</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815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680</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November</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672</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858</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830</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604</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629</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632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581</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740</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579</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617</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651</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775</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December</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705</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986</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818</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702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628</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558</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631</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648</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627</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sz w:val="20"/>
                <w:szCs w:val="20"/>
              </w:rPr>
            </w:pPr>
            <w:r>
              <w:rPr>
                <w:rFonts w:ascii="Arial" w:hAnsi="Arial" w:cs="Arial"/>
                <w:sz w:val="20"/>
                <w:szCs w:val="20"/>
              </w:rPr>
              <w:t>743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713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sz w:val="20"/>
                <w:szCs w:val="20"/>
              </w:rPr>
            </w:pPr>
            <w:r>
              <w:rPr>
                <w:rFonts w:ascii="Arial" w:hAnsi="Arial" w:cs="Arial"/>
                <w:sz w:val="20"/>
                <w:szCs w:val="20"/>
              </w:rPr>
              <w:t>743</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Total</w:t>
            </w:r>
          </w:p>
        </w:tc>
        <w:tc>
          <w:tcPr>
            <w:tcW w:w="573"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8790</w:t>
            </w:r>
          </w:p>
        </w:tc>
        <w:tc>
          <w:tcPr>
            <w:tcW w:w="39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11301</w:t>
            </w:r>
          </w:p>
        </w:tc>
        <w:tc>
          <w:tcPr>
            <w:tcW w:w="390"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11194</w:t>
            </w:r>
          </w:p>
        </w:tc>
        <w:tc>
          <w:tcPr>
            <w:tcW w:w="345"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9206</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8364</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8127</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8014</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7617</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7710</w:t>
            </w:r>
          </w:p>
        </w:tc>
        <w:tc>
          <w:tcPr>
            <w:tcW w:w="334" w:type="pct"/>
            <w:tcBorders>
              <w:top w:val="nil"/>
              <w:left w:val="nil"/>
              <w:bottom w:val="single" w:sz="4" w:space="0" w:color="auto"/>
              <w:right w:val="single" w:sz="4" w:space="0" w:color="auto"/>
            </w:tcBorders>
            <w:shd w:val="clear" w:color="auto" w:fill="auto"/>
            <w:noWrap/>
            <w:vAlign w:val="center"/>
            <w:hideMark/>
          </w:tcPr>
          <w:p w:rsidR="00251301" w:rsidRDefault="00251301">
            <w:pPr>
              <w:jc w:val="center"/>
              <w:rPr>
                <w:rFonts w:ascii="Arial" w:hAnsi="Arial" w:cs="Arial"/>
                <w:b/>
                <w:bCs/>
                <w:sz w:val="20"/>
                <w:szCs w:val="20"/>
              </w:rPr>
            </w:pPr>
            <w:r>
              <w:rPr>
                <w:rFonts w:ascii="Arial" w:hAnsi="Arial" w:cs="Arial"/>
                <w:b/>
                <w:bCs/>
                <w:sz w:val="20"/>
                <w:szCs w:val="20"/>
              </w:rPr>
              <w:t>7826</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8537</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8877</w:t>
            </w:r>
          </w:p>
        </w:tc>
      </w:tr>
      <w:tr w:rsidR="00251301" w:rsidTr="00251301">
        <w:trPr>
          <w:trHeight w:val="269"/>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251301" w:rsidRDefault="00251301">
            <w:pPr>
              <w:rPr>
                <w:rFonts w:ascii="Arial" w:hAnsi="Arial" w:cs="Arial"/>
                <w:b/>
                <w:bCs/>
                <w:sz w:val="20"/>
                <w:szCs w:val="20"/>
              </w:rPr>
            </w:pPr>
            <w:r>
              <w:rPr>
                <w:rFonts w:ascii="Arial" w:hAnsi="Arial" w:cs="Arial"/>
                <w:b/>
                <w:bCs/>
                <w:sz w:val="20"/>
                <w:szCs w:val="20"/>
              </w:rPr>
              <w:t>% of ∆</w:t>
            </w:r>
          </w:p>
        </w:tc>
        <w:tc>
          <w:tcPr>
            <w:tcW w:w="573" w:type="pct"/>
            <w:tcBorders>
              <w:top w:val="nil"/>
              <w:left w:val="nil"/>
              <w:bottom w:val="single" w:sz="4" w:space="0" w:color="auto"/>
              <w:right w:val="single" w:sz="4" w:space="0" w:color="auto"/>
            </w:tcBorders>
            <w:shd w:val="clear" w:color="000000" w:fill="000000"/>
            <w:noWrap/>
            <w:vAlign w:val="bottom"/>
            <w:hideMark/>
          </w:tcPr>
          <w:p w:rsidR="00251301" w:rsidRDefault="00251301">
            <w:pPr>
              <w:rPr>
                <w:rFonts w:ascii="Arial" w:hAnsi="Arial" w:cs="Arial"/>
                <w:sz w:val="20"/>
                <w:szCs w:val="20"/>
              </w:rPr>
            </w:pPr>
            <w:r>
              <w:rPr>
                <w:rFonts w:ascii="Arial" w:hAnsi="Arial" w:cs="Arial"/>
                <w:sz w:val="20"/>
                <w:szCs w:val="20"/>
              </w:rPr>
              <w:t> </w:t>
            </w:r>
          </w:p>
        </w:tc>
        <w:tc>
          <w:tcPr>
            <w:tcW w:w="390" w:type="pct"/>
            <w:tcBorders>
              <w:top w:val="nil"/>
              <w:left w:val="nil"/>
              <w:bottom w:val="single" w:sz="4" w:space="0" w:color="auto"/>
              <w:right w:val="single" w:sz="4" w:space="0" w:color="auto"/>
            </w:tcBorders>
            <w:shd w:val="clear" w:color="000000" w:fill="000000"/>
            <w:noWrap/>
            <w:vAlign w:val="bottom"/>
            <w:hideMark/>
          </w:tcPr>
          <w:p w:rsidR="00251301" w:rsidRDefault="00251301">
            <w:pPr>
              <w:rPr>
                <w:rFonts w:ascii="Arial" w:hAnsi="Arial" w:cs="Arial"/>
                <w:sz w:val="20"/>
                <w:szCs w:val="20"/>
              </w:rPr>
            </w:pPr>
            <w:r>
              <w:rPr>
                <w:rFonts w:ascii="Arial" w:hAnsi="Arial" w:cs="Arial"/>
                <w:sz w:val="20"/>
                <w:szCs w:val="20"/>
              </w:rPr>
              <w:t> </w:t>
            </w:r>
          </w:p>
        </w:tc>
        <w:tc>
          <w:tcPr>
            <w:tcW w:w="390"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w:t>
            </w:r>
          </w:p>
        </w:tc>
        <w:tc>
          <w:tcPr>
            <w:tcW w:w="345"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-18%</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-9%</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-3%</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-5%</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9%</w:t>
            </w:r>
          </w:p>
        </w:tc>
        <w:tc>
          <w:tcPr>
            <w:tcW w:w="334" w:type="pct"/>
            <w:tcBorders>
              <w:top w:val="nil"/>
              <w:left w:val="nil"/>
              <w:bottom w:val="single" w:sz="4" w:space="0" w:color="auto"/>
              <w:right w:val="single" w:sz="4" w:space="0" w:color="auto"/>
            </w:tcBorders>
            <w:shd w:val="clear" w:color="auto" w:fill="auto"/>
            <w:noWrap/>
            <w:vAlign w:val="bottom"/>
            <w:hideMark/>
          </w:tcPr>
          <w:p w:rsidR="00251301" w:rsidRDefault="00251301">
            <w:pPr>
              <w:jc w:val="center"/>
              <w:rPr>
                <w:rFonts w:ascii="Arial" w:hAnsi="Arial" w:cs="Arial"/>
                <w:b/>
                <w:bCs/>
                <w:sz w:val="20"/>
                <w:szCs w:val="20"/>
              </w:rPr>
            </w:pPr>
            <w:r>
              <w:rPr>
                <w:rFonts w:ascii="Arial" w:hAnsi="Arial" w:cs="Arial"/>
                <w:b/>
                <w:bCs/>
                <w:sz w:val="20"/>
                <w:szCs w:val="20"/>
              </w:rPr>
              <w:t>4%</w:t>
            </w:r>
          </w:p>
        </w:tc>
      </w:tr>
    </w:tbl>
    <w:p w:rsidR="00251301" w:rsidRDefault="00251301" w:rsidP="000F2074">
      <w:pPr>
        <w:rPr>
          <w:i/>
        </w:rPr>
      </w:pPr>
    </w:p>
    <w:p w:rsidR="00251301" w:rsidRDefault="00251301" w:rsidP="000F2074">
      <w:pPr>
        <w:rPr>
          <w:i/>
        </w:rPr>
      </w:pPr>
    </w:p>
    <w:p w:rsidR="00251301" w:rsidRDefault="00251301" w:rsidP="000F2074">
      <w:pPr>
        <w:rPr>
          <w:i/>
        </w:rPr>
      </w:pPr>
    </w:p>
    <w:p w:rsidR="00251301" w:rsidRPr="00D30E72" w:rsidRDefault="00251301" w:rsidP="000F2074">
      <w:pPr>
        <w:rPr>
          <w:i/>
        </w:rPr>
      </w:pPr>
      <w:r>
        <w:rPr>
          <w:noProof/>
        </w:rPr>
        <w:drawing>
          <wp:inline distT="0" distB="0" distL="0" distR="0" wp14:anchorId="093242AA" wp14:editId="2D615B5F">
            <wp:extent cx="6293224" cy="3971364"/>
            <wp:effectExtent l="0" t="0" r="12700" b="1016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sectPr w:rsidR="00251301" w:rsidRPr="00D30E72" w:rsidSect="001B0291">
      <w:headerReference w:type="even" r:id="rId49"/>
      <w:headerReference w:type="default" r:id="rId50"/>
      <w:footerReference w:type="default" r:id="rId51"/>
      <w:footerReference w:type="first" r:id="rId52"/>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3E52" w:rsidRDefault="00673E52">
      <w:r>
        <w:separator/>
      </w:r>
    </w:p>
  </w:endnote>
  <w:endnote w:type="continuationSeparator" w:id="0">
    <w:p w:rsidR="00673E52" w:rsidRDefault="00673E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0E72" w:rsidRPr="00CA48CB" w:rsidRDefault="00D30E72" w:rsidP="00CA48CB">
    <w:pPr>
      <w:pStyle w:val="Footer"/>
      <w:rPr>
        <w:sz w:val="16"/>
        <w:szCs w:val="16"/>
      </w:rPr>
    </w:pPr>
    <w:r>
      <w:rPr>
        <w:rFonts w:ascii="Palatino Linotype" w:hAnsi="Palatino Linotype"/>
        <w:b/>
        <w:i/>
        <w:sz w:val="16"/>
        <w:szCs w:val="16"/>
      </w:rPr>
      <w:t>Gulfport Police Department</w:t>
    </w:r>
    <w:r>
      <w:rPr>
        <w:rFonts w:ascii="Palatino Linotype" w:hAnsi="Palatino Linotype"/>
        <w:b/>
        <w:i/>
        <w:sz w:val="16"/>
        <w:szCs w:val="16"/>
      </w:rPr>
      <w:tab/>
    </w:r>
    <w:r>
      <w:rPr>
        <w:rFonts w:ascii="Palatino Linotype" w:hAnsi="Palatino Linotype"/>
        <w:b/>
        <w:i/>
        <w:sz w:val="16"/>
        <w:szCs w:val="16"/>
      </w:rPr>
      <w:tab/>
    </w:r>
    <w:r w:rsidRPr="00CA48CB">
      <w:rPr>
        <w:rFonts w:ascii="Palatino Linotype" w:hAnsi="Palatino Linotype"/>
        <w:b/>
        <w:i/>
        <w:sz w:val="16"/>
        <w:szCs w:val="16"/>
      </w:rPr>
      <w:t xml:space="preserve">“Building a Safer </w:t>
    </w:r>
    <w:smartTag w:uri="urn:schemas-microsoft-com:office:smarttags" w:element="place">
      <w:smartTag w:uri="urn:schemas-microsoft-com:office:smarttags" w:element="City">
        <w:r w:rsidRPr="00CA48CB">
          <w:rPr>
            <w:rFonts w:ascii="Palatino Linotype" w:hAnsi="Palatino Linotype"/>
            <w:b/>
            <w:i/>
            <w:sz w:val="16"/>
            <w:szCs w:val="16"/>
          </w:rPr>
          <w:t>Gulfport</w:t>
        </w:r>
      </w:smartTag>
    </w:smartTag>
    <w:r w:rsidRPr="00CA48CB">
      <w:rPr>
        <w:rFonts w:ascii="Palatino Linotype" w:hAnsi="Palatino Linotype"/>
        <w:b/>
        <w:i/>
        <w:sz w:val="16"/>
        <w:szCs w:val="16"/>
      </w:rPr>
      <w:t xml:space="preserve"> Together”</w:t>
    </w:r>
  </w:p>
  <w:p w:rsidR="00D30E72" w:rsidRPr="00CA48CB" w:rsidRDefault="00D30E72" w:rsidP="00CA48CB">
    <w:pPr>
      <w:pStyle w:val="Footer"/>
      <w:jc w:val="right"/>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0E72" w:rsidRDefault="00D30E72" w:rsidP="00CA48CB">
    <w:pPr>
      <w:pStyle w:val="Footer"/>
      <w:jc w:val="center"/>
    </w:pPr>
    <w:r>
      <w:rPr>
        <w:rFonts w:ascii="Palatino Linotype" w:hAnsi="Palatino Linotype"/>
        <w:b/>
        <w:i/>
      </w:rPr>
      <w:t xml:space="preserve">“Building a Safer </w:t>
    </w:r>
    <w:smartTag w:uri="urn:schemas-microsoft-com:office:smarttags" w:element="place">
      <w:smartTag w:uri="urn:schemas-microsoft-com:office:smarttags" w:element="City">
        <w:r>
          <w:rPr>
            <w:rFonts w:ascii="Palatino Linotype" w:hAnsi="Palatino Linotype"/>
            <w:b/>
            <w:i/>
          </w:rPr>
          <w:t>Gulfport</w:t>
        </w:r>
      </w:smartTag>
    </w:smartTag>
    <w:r>
      <w:rPr>
        <w:rFonts w:ascii="Palatino Linotype" w:hAnsi="Palatino Linotype"/>
        <w:b/>
        <w:i/>
      </w:rPr>
      <w:t xml:space="preserve"> Together”</w:t>
    </w:r>
  </w:p>
  <w:p w:rsidR="00D30E72" w:rsidRDefault="00D30E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3E52" w:rsidRDefault="00673E52">
      <w:r>
        <w:separator/>
      </w:r>
    </w:p>
  </w:footnote>
  <w:footnote w:type="continuationSeparator" w:id="0">
    <w:p w:rsidR="00673E52" w:rsidRDefault="00673E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0E72" w:rsidRDefault="00D30E72" w:rsidP="000E596A">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rsidR="00D30E72" w:rsidRDefault="00D30E72" w:rsidP="00FB6301">
    <w:pPr>
      <w:pStyle w:val="Heade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727548"/>
      <w:docPartObj>
        <w:docPartGallery w:val="Page Numbers (Top of Page)"/>
        <w:docPartUnique/>
      </w:docPartObj>
    </w:sdtPr>
    <w:sdtEndPr>
      <w:rPr>
        <w:noProof/>
      </w:rPr>
    </w:sdtEndPr>
    <w:sdtContent>
      <w:p w:rsidR="00F42395" w:rsidRDefault="00F42395">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rsidR="00D30E72" w:rsidRDefault="00D30E72" w:rsidP="00FB6301">
    <w:pPr>
      <w:pStyle w:val="Heade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14E11"/>
    <w:multiLevelType w:val="hybridMultilevel"/>
    <w:tmpl w:val="67E2B432"/>
    <w:lvl w:ilvl="0" w:tplc="0742D208">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nsid w:val="251C6018"/>
    <w:multiLevelType w:val="hybridMultilevel"/>
    <w:tmpl w:val="4B4E63EE"/>
    <w:lvl w:ilvl="0" w:tplc="D0C0085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397D33A3"/>
    <w:multiLevelType w:val="hybridMultilevel"/>
    <w:tmpl w:val="3CACE66C"/>
    <w:lvl w:ilvl="0" w:tplc="0742D208">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48A808C8"/>
    <w:multiLevelType w:val="hybridMultilevel"/>
    <w:tmpl w:val="AB186002"/>
    <w:lvl w:ilvl="0" w:tplc="A5009340">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1ED7C08"/>
    <w:multiLevelType w:val="hybridMultilevel"/>
    <w:tmpl w:val="FCCA718E"/>
    <w:lvl w:ilvl="0" w:tplc="0742D208">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6D3A1117"/>
    <w:multiLevelType w:val="hybridMultilevel"/>
    <w:tmpl w:val="910C0A7C"/>
    <w:lvl w:ilvl="0" w:tplc="1C508248">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nsid w:val="76101ECC"/>
    <w:multiLevelType w:val="hybridMultilevel"/>
    <w:tmpl w:val="4B4E63EE"/>
    <w:lvl w:ilvl="0" w:tplc="D0C0085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5"/>
  </w:num>
  <w:num w:numId="2">
    <w:abstractNumId w:val="6"/>
  </w:num>
  <w:num w:numId="3">
    <w:abstractNumId w:val="4"/>
  </w:num>
  <w:num w:numId="4">
    <w:abstractNumId w:val="3"/>
  </w:num>
  <w:num w:numId="5">
    <w:abstractNumId w:val="1"/>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5"/>
  <w:drawingGridVerticalSpacing w:val="187"/>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Tc2MDAyNDc0szQwNDVU0lEKTi0uzszPAykwrAUAh6wkTywAAAA="/>
  </w:docVars>
  <w:rsids>
    <w:rsidRoot w:val="00153F70"/>
    <w:rsid w:val="00011A5B"/>
    <w:rsid w:val="00012D49"/>
    <w:rsid w:val="0001411D"/>
    <w:rsid w:val="0002482F"/>
    <w:rsid w:val="00030C3B"/>
    <w:rsid w:val="00035F2B"/>
    <w:rsid w:val="00036EEC"/>
    <w:rsid w:val="00037ADE"/>
    <w:rsid w:val="00037BB7"/>
    <w:rsid w:val="00054E8E"/>
    <w:rsid w:val="000634E3"/>
    <w:rsid w:val="000651E2"/>
    <w:rsid w:val="000710EE"/>
    <w:rsid w:val="00071F5D"/>
    <w:rsid w:val="00072288"/>
    <w:rsid w:val="00074DF8"/>
    <w:rsid w:val="00081D2C"/>
    <w:rsid w:val="00085C18"/>
    <w:rsid w:val="0008695B"/>
    <w:rsid w:val="00095E8D"/>
    <w:rsid w:val="000969B9"/>
    <w:rsid w:val="000A2AA8"/>
    <w:rsid w:val="000A3807"/>
    <w:rsid w:val="000A48D5"/>
    <w:rsid w:val="000B348C"/>
    <w:rsid w:val="000B5778"/>
    <w:rsid w:val="000C0C0A"/>
    <w:rsid w:val="000C0CAB"/>
    <w:rsid w:val="000C2AF2"/>
    <w:rsid w:val="000C65E5"/>
    <w:rsid w:val="000D175F"/>
    <w:rsid w:val="000D1DFF"/>
    <w:rsid w:val="000D5899"/>
    <w:rsid w:val="000D5D1A"/>
    <w:rsid w:val="000D7603"/>
    <w:rsid w:val="000D7B8B"/>
    <w:rsid w:val="000D7D08"/>
    <w:rsid w:val="000E1EAF"/>
    <w:rsid w:val="000E2B14"/>
    <w:rsid w:val="000E36B4"/>
    <w:rsid w:val="000E596A"/>
    <w:rsid w:val="000F0423"/>
    <w:rsid w:val="000F2074"/>
    <w:rsid w:val="000F237D"/>
    <w:rsid w:val="000F5D83"/>
    <w:rsid w:val="000F77AF"/>
    <w:rsid w:val="00101FF0"/>
    <w:rsid w:val="00104599"/>
    <w:rsid w:val="00111377"/>
    <w:rsid w:val="00111B76"/>
    <w:rsid w:val="00115EFE"/>
    <w:rsid w:val="001244F0"/>
    <w:rsid w:val="00125534"/>
    <w:rsid w:val="00125E1A"/>
    <w:rsid w:val="00134752"/>
    <w:rsid w:val="00136EEE"/>
    <w:rsid w:val="0014001F"/>
    <w:rsid w:val="00144422"/>
    <w:rsid w:val="00144613"/>
    <w:rsid w:val="001506E8"/>
    <w:rsid w:val="00151138"/>
    <w:rsid w:val="00153F70"/>
    <w:rsid w:val="001555DF"/>
    <w:rsid w:val="0015590E"/>
    <w:rsid w:val="00155FB9"/>
    <w:rsid w:val="001607B0"/>
    <w:rsid w:val="00161D7F"/>
    <w:rsid w:val="00161FBE"/>
    <w:rsid w:val="0016605B"/>
    <w:rsid w:val="001715EC"/>
    <w:rsid w:val="00177665"/>
    <w:rsid w:val="00184F3E"/>
    <w:rsid w:val="00186F74"/>
    <w:rsid w:val="00187523"/>
    <w:rsid w:val="00191775"/>
    <w:rsid w:val="001A07A5"/>
    <w:rsid w:val="001A135E"/>
    <w:rsid w:val="001A1429"/>
    <w:rsid w:val="001A226F"/>
    <w:rsid w:val="001A6F7D"/>
    <w:rsid w:val="001A7376"/>
    <w:rsid w:val="001B0291"/>
    <w:rsid w:val="001B04B5"/>
    <w:rsid w:val="001B0FE1"/>
    <w:rsid w:val="001B1DCD"/>
    <w:rsid w:val="001B20F0"/>
    <w:rsid w:val="001B3397"/>
    <w:rsid w:val="001B3E32"/>
    <w:rsid w:val="001B4BF7"/>
    <w:rsid w:val="001B65E6"/>
    <w:rsid w:val="001C2D16"/>
    <w:rsid w:val="001C3ADE"/>
    <w:rsid w:val="001C3C75"/>
    <w:rsid w:val="001C7227"/>
    <w:rsid w:val="001D0E68"/>
    <w:rsid w:val="001D4D91"/>
    <w:rsid w:val="001D56D6"/>
    <w:rsid w:val="001E0F48"/>
    <w:rsid w:val="001E174A"/>
    <w:rsid w:val="001E5759"/>
    <w:rsid w:val="001E60A4"/>
    <w:rsid w:val="001E63C5"/>
    <w:rsid w:val="001E7029"/>
    <w:rsid w:val="001F23F8"/>
    <w:rsid w:val="001F2618"/>
    <w:rsid w:val="001F2A1E"/>
    <w:rsid w:val="001F2EE3"/>
    <w:rsid w:val="001F3A29"/>
    <w:rsid w:val="001F3E55"/>
    <w:rsid w:val="001F5077"/>
    <w:rsid w:val="001F6C7A"/>
    <w:rsid w:val="00201FD1"/>
    <w:rsid w:val="00202C46"/>
    <w:rsid w:val="002040A9"/>
    <w:rsid w:val="00213213"/>
    <w:rsid w:val="00213AB3"/>
    <w:rsid w:val="00213CF1"/>
    <w:rsid w:val="00230023"/>
    <w:rsid w:val="00231491"/>
    <w:rsid w:val="0023151E"/>
    <w:rsid w:val="002342A4"/>
    <w:rsid w:val="0023761B"/>
    <w:rsid w:val="00237D68"/>
    <w:rsid w:val="00240A62"/>
    <w:rsid w:val="00240CB6"/>
    <w:rsid w:val="0024366D"/>
    <w:rsid w:val="002441D8"/>
    <w:rsid w:val="0024625D"/>
    <w:rsid w:val="00247208"/>
    <w:rsid w:val="002511FB"/>
    <w:rsid w:val="00251301"/>
    <w:rsid w:val="0025132A"/>
    <w:rsid w:val="00256D7A"/>
    <w:rsid w:val="00261C12"/>
    <w:rsid w:val="0026444D"/>
    <w:rsid w:val="00265F7E"/>
    <w:rsid w:val="00267486"/>
    <w:rsid w:val="0027001D"/>
    <w:rsid w:val="002731DF"/>
    <w:rsid w:val="00274399"/>
    <w:rsid w:val="00274CCF"/>
    <w:rsid w:val="00274DB0"/>
    <w:rsid w:val="002761A9"/>
    <w:rsid w:val="00283687"/>
    <w:rsid w:val="002845D5"/>
    <w:rsid w:val="00286814"/>
    <w:rsid w:val="00287E9D"/>
    <w:rsid w:val="00291196"/>
    <w:rsid w:val="0029161B"/>
    <w:rsid w:val="00292E69"/>
    <w:rsid w:val="00295525"/>
    <w:rsid w:val="002974CB"/>
    <w:rsid w:val="002A0E4B"/>
    <w:rsid w:val="002A3600"/>
    <w:rsid w:val="002A4C16"/>
    <w:rsid w:val="002B1D83"/>
    <w:rsid w:val="002B21BE"/>
    <w:rsid w:val="002B2B3E"/>
    <w:rsid w:val="002B5110"/>
    <w:rsid w:val="002C0AF1"/>
    <w:rsid w:val="002C0EE2"/>
    <w:rsid w:val="002C10FE"/>
    <w:rsid w:val="002C2D23"/>
    <w:rsid w:val="002C5C77"/>
    <w:rsid w:val="002D3772"/>
    <w:rsid w:val="002E1625"/>
    <w:rsid w:val="002F4D8A"/>
    <w:rsid w:val="00301DAD"/>
    <w:rsid w:val="00302C52"/>
    <w:rsid w:val="00311227"/>
    <w:rsid w:val="00312A30"/>
    <w:rsid w:val="00312ADA"/>
    <w:rsid w:val="003256CD"/>
    <w:rsid w:val="003312B7"/>
    <w:rsid w:val="00331DF0"/>
    <w:rsid w:val="00332029"/>
    <w:rsid w:val="00334EE0"/>
    <w:rsid w:val="003422EB"/>
    <w:rsid w:val="00347F2E"/>
    <w:rsid w:val="00354EC1"/>
    <w:rsid w:val="0035561F"/>
    <w:rsid w:val="00355836"/>
    <w:rsid w:val="00370E38"/>
    <w:rsid w:val="00381435"/>
    <w:rsid w:val="00381DAA"/>
    <w:rsid w:val="003825A7"/>
    <w:rsid w:val="003868B5"/>
    <w:rsid w:val="00387173"/>
    <w:rsid w:val="003915B8"/>
    <w:rsid w:val="00391E44"/>
    <w:rsid w:val="00392A6B"/>
    <w:rsid w:val="00393AAF"/>
    <w:rsid w:val="0039500B"/>
    <w:rsid w:val="00395D91"/>
    <w:rsid w:val="003965A1"/>
    <w:rsid w:val="00396903"/>
    <w:rsid w:val="003A41C6"/>
    <w:rsid w:val="003A4CBA"/>
    <w:rsid w:val="003A5D63"/>
    <w:rsid w:val="003B13DA"/>
    <w:rsid w:val="003B3428"/>
    <w:rsid w:val="003B4E0C"/>
    <w:rsid w:val="003B7813"/>
    <w:rsid w:val="003C0CEC"/>
    <w:rsid w:val="003C0F7F"/>
    <w:rsid w:val="003C1943"/>
    <w:rsid w:val="003C2330"/>
    <w:rsid w:val="003C7237"/>
    <w:rsid w:val="003D617A"/>
    <w:rsid w:val="003D72EF"/>
    <w:rsid w:val="003D7B47"/>
    <w:rsid w:val="003D7D35"/>
    <w:rsid w:val="003E6745"/>
    <w:rsid w:val="003F0441"/>
    <w:rsid w:val="003F055C"/>
    <w:rsid w:val="003F102C"/>
    <w:rsid w:val="003F315E"/>
    <w:rsid w:val="003F4B43"/>
    <w:rsid w:val="003F5B13"/>
    <w:rsid w:val="00403395"/>
    <w:rsid w:val="00404736"/>
    <w:rsid w:val="00410435"/>
    <w:rsid w:val="00410FBB"/>
    <w:rsid w:val="00422768"/>
    <w:rsid w:val="00424873"/>
    <w:rsid w:val="004266E2"/>
    <w:rsid w:val="0043255D"/>
    <w:rsid w:val="00433087"/>
    <w:rsid w:val="00435B2C"/>
    <w:rsid w:val="0043760A"/>
    <w:rsid w:val="00440AE7"/>
    <w:rsid w:val="0044227E"/>
    <w:rsid w:val="004424C4"/>
    <w:rsid w:val="004455DC"/>
    <w:rsid w:val="004535EF"/>
    <w:rsid w:val="00457783"/>
    <w:rsid w:val="00457CB2"/>
    <w:rsid w:val="00461157"/>
    <w:rsid w:val="00464EA0"/>
    <w:rsid w:val="00470B2F"/>
    <w:rsid w:val="00471526"/>
    <w:rsid w:val="004730A9"/>
    <w:rsid w:val="004752D6"/>
    <w:rsid w:val="004768E0"/>
    <w:rsid w:val="004849D6"/>
    <w:rsid w:val="004867F0"/>
    <w:rsid w:val="004935C3"/>
    <w:rsid w:val="00493C8D"/>
    <w:rsid w:val="00496245"/>
    <w:rsid w:val="004972EC"/>
    <w:rsid w:val="00497B7E"/>
    <w:rsid w:val="004A4D5F"/>
    <w:rsid w:val="004B0C38"/>
    <w:rsid w:val="004B2EC9"/>
    <w:rsid w:val="004B385F"/>
    <w:rsid w:val="004B5552"/>
    <w:rsid w:val="004B5CED"/>
    <w:rsid w:val="004C319D"/>
    <w:rsid w:val="004C35CE"/>
    <w:rsid w:val="004C5BA3"/>
    <w:rsid w:val="004C6085"/>
    <w:rsid w:val="004D0594"/>
    <w:rsid w:val="004D16EC"/>
    <w:rsid w:val="004D3376"/>
    <w:rsid w:val="004D42B5"/>
    <w:rsid w:val="004D4ABD"/>
    <w:rsid w:val="004D6BD1"/>
    <w:rsid w:val="004E0609"/>
    <w:rsid w:val="004E18DA"/>
    <w:rsid w:val="004E6B3C"/>
    <w:rsid w:val="004F03FC"/>
    <w:rsid w:val="004F0A29"/>
    <w:rsid w:val="004F2304"/>
    <w:rsid w:val="004F3F17"/>
    <w:rsid w:val="004F6595"/>
    <w:rsid w:val="004F73D8"/>
    <w:rsid w:val="0050695F"/>
    <w:rsid w:val="00515D58"/>
    <w:rsid w:val="005204A6"/>
    <w:rsid w:val="0052080D"/>
    <w:rsid w:val="005220E6"/>
    <w:rsid w:val="00524BD4"/>
    <w:rsid w:val="00525FFB"/>
    <w:rsid w:val="00527A7B"/>
    <w:rsid w:val="00534319"/>
    <w:rsid w:val="00537556"/>
    <w:rsid w:val="00537C56"/>
    <w:rsid w:val="005412E3"/>
    <w:rsid w:val="0054534A"/>
    <w:rsid w:val="00545687"/>
    <w:rsid w:val="00547E3F"/>
    <w:rsid w:val="00555FBF"/>
    <w:rsid w:val="00561DE7"/>
    <w:rsid w:val="00563814"/>
    <w:rsid w:val="00566FBB"/>
    <w:rsid w:val="00574D26"/>
    <w:rsid w:val="00576138"/>
    <w:rsid w:val="00576E7F"/>
    <w:rsid w:val="00580019"/>
    <w:rsid w:val="00582169"/>
    <w:rsid w:val="00582764"/>
    <w:rsid w:val="0058755B"/>
    <w:rsid w:val="005936C9"/>
    <w:rsid w:val="00593F9F"/>
    <w:rsid w:val="00594A53"/>
    <w:rsid w:val="005951F0"/>
    <w:rsid w:val="0059547A"/>
    <w:rsid w:val="005A0EAA"/>
    <w:rsid w:val="005A102D"/>
    <w:rsid w:val="005A3C5F"/>
    <w:rsid w:val="005A46A3"/>
    <w:rsid w:val="005A4F93"/>
    <w:rsid w:val="005A5AAC"/>
    <w:rsid w:val="005B1ABC"/>
    <w:rsid w:val="005B332A"/>
    <w:rsid w:val="005B3B05"/>
    <w:rsid w:val="005C4311"/>
    <w:rsid w:val="005C5C74"/>
    <w:rsid w:val="005D03A1"/>
    <w:rsid w:val="005E201D"/>
    <w:rsid w:val="005E3425"/>
    <w:rsid w:val="005E7062"/>
    <w:rsid w:val="005E7C8D"/>
    <w:rsid w:val="005F0837"/>
    <w:rsid w:val="005F4332"/>
    <w:rsid w:val="005F5CAD"/>
    <w:rsid w:val="00600B64"/>
    <w:rsid w:val="00603950"/>
    <w:rsid w:val="0060578C"/>
    <w:rsid w:val="00611275"/>
    <w:rsid w:val="00622CB5"/>
    <w:rsid w:val="0062333F"/>
    <w:rsid w:val="00625E47"/>
    <w:rsid w:val="00627159"/>
    <w:rsid w:val="00631006"/>
    <w:rsid w:val="0063452E"/>
    <w:rsid w:val="0063558E"/>
    <w:rsid w:val="006421D3"/>
    <w:rsid w:val="00642664"/>
    <w:rsid w:val="00644088"/>
    <w:rsid w:val="00650807"/>
    <w:rsid w:val="00650FC7"/>
    <w:rsid w:val="00652526"/>
    <w:rsid w:val="006539CC"/>
    <w:rsid w:val="006555E2"/>
    <w:rsid w:val="00656491"/>
    <w:rsid w:val="0065706F"/>
    <w:rsid w:val="0065741F"/>
    <w:rsid w:val="00660683"/>
    <w:rsid w:val="00661BDB"/>
    <w:rsid w:val="00662509"/>
    <w:rsid w:val="006659DB"/>
    <w:rsid w:val="00666172"/>
    <w:rsid w:val="00667E1C"/>
    <w:rsid w:val="00673E52"/>
    <w:rsid w:val="00674814"/>
    <w:rsid w:val="0067797C"/>
    <w:rsid w:val="00680486"/>
    <w:rsid w:val="00680906"/>
    <w:rsid w:val="00680FD8"/>
    <w:rsid w:val="006828E6"/>
    <w:rsid w:val="00682C7B"/>
    <w:rsid w:val="0068415A"/>
    <w:rsid w:val="0069080B"/>
    <w:rsid w:val="006A3B50"/>
    <w:rsid w:val="006A7535"/>
    <w:rsid w:val="006A775C"/>
    <w:rsid w:val="006B0F90"/>
    <w:rsid w:val="006B1BED"/>
    <w:rsid w:val="006B4713"/>
    <w:rsid w:val="006B69EB"/>
    <w:rsid w:val="006B7A38"/>
    <w:rsid w:val="006C176C"/>
    <w:rsid w:val="006C183E"/>
    <w:rsid w:val="006C3AE6"/>
    <w:rsid w:val="006C4F77"/>
    <w:rsid w:val="006C6C5E"/>
    <w:rsid w:val="006D11CB"/>
    <w:rsid w:val="006D25FB"/>
    <w:rsid w:val="006D4C53"/>
    <w:rsid w:val="006D75E2"/>
    <w:rsid w:val="006E1712"/>
    <w:rsid w:val="006E2D63"/>
    <w:rsid w:val="006E59B5"/>
    <w:rsid w:val="006E7576"/>
    <w:rsid w:val="006E7CD2"/>
    <w:rsid w:val="006F2EDE"/>
    <w:rsid w:val="006F5DDF"/>
    <w:rsid w:val="00700E79"/>
    <w:rsid w:val="0070305A"/>
    <w:rsid w:val="007057AC"/>
    <w:rsid w:val="00710228"/>
    <w:rsid w:val="0071633C"/>
    <w:rsid w:val="0071675E"/>
    <w:rsid w:val="0071736B"/>
    <w:rsid w:val="00717667"/>
    <w:rsid w:val="007227BB"/>
    <w:rsid w:val="00740777"/>
    <w:rsid w:val="007439DE"/>
    <w:rsid w:val="00743C28"/>
    <w:rsid w:val="0074787C"/>
    <w:rsid w:val="007478F5"/>
    <w:rsid w:val="00747FCC"/>
    <w:rsid w:val="007517C6"/>
    <w:rsid w:val="0075241B"/>
    <w:rsid w:val="00752A4A"/>
    <w:rsid w:val="00752D2E"/>
    <w:rsid w:val="0075741C"/>
    <w:rsid w:val="007646A0"/>
    <w:rsid w:val="0076526D"/>
    <w:rsid w:val="007661FE"/>
    <w:rsid w:val="0077012F"/>
    <w:rsid w:val="007703DC"/>
    <w:rsid w:val="00775AC5"/>
    <w:rsid w:val="007774F3"/>
    <w:rsid w:val="00780557"/>
    <w:rsid w:val="00780796"/>
    <w:rsid w:val="00780E5C"/>
    <w:rsid w:val="00781582"/>
    <w:rsid w:val="007829B4"/>
    <w:rsid w:val="00784BEB"/>
    <w:rsid w:val="007A0CD8"/>
    <w:rsid w:val="007A3336"/>
    <w:rsid w:val="007B01D9"/>
    <w:rsid w:val="007B2435"/>
    <w:rsid w:val="007B2873"/>
    <w:rsid w:val="007C2336"/>
    <w:rsid w:val="007C30D7"/>
    <w:rsid w:val="007C398D"/>
    <w:rsid w:val="007D2D96"/>
    <w:rsid w:val="007D4630"/>
    <w:rsid w:val="007D598B"/>
    <w:rsid w:val="007D7F1E"/>
    <w:rsid w:val="007E0AAD"/>
    <w:rsid w:val="007E10C9"/>
    <w:rsid w:val="007E3373"/>
    <w:rsid w:val="007E5D19"/>
    <w:rsid w:val="007F28E5"/>
    <w:rsid w:val="007F328E"/>
    <w:rsid w:val="007F453D"/>
    <w:rsid w:val="007F7807"/>
    <w:rsid w:val="008022CB"/>
    <w:rsid w:val="0080289E"/>
    <w:rsid w:val="00804EB0"/>
    <w:rsid w:val="008073D5"/>
    <w:rsid w:val="00815554"/>
    <w:rsid w:val="00817703"/>
    <w:rsid w:val="0082074D"/>
    <w:rsid w:val="00822159"/>
    <w:rsid w:val="00830550"/>
    <w:rsid w:val="0083085C"/>
    <w:rsid w:val="00831A0C"/>
    <w:rsid w:val="0083217F"/>
    <w:rsid w:val="00834F0F"/>
    <w:rsid w:val="008352EE"/>
    <w:rsid w:val="00836E22"/>
    <w:rsid w:val="0084200B"/>
    <w:rsid w:val="00844BCC"/>
    <w:rsid w:val="00846D99"/>
    <w:rsid w:val="00850CF0"/>
    <w:rsid w:val="00850D87"/>
    <w:rsid w:val="00852305"/>
    <w:rsid w:val="00853B0E"/>
    <w:rsid w:val="00855F99"/>
    <w:rsid w:val="0086001E"/>
    <w:rsid w:val="00862D57"/>
    <w:rsid w:val="00863F1A"/>
    <w:rsid w:val="0086475B"/>
    <w:rsid w:val="0086494C"/>
    <w:rsid w:val="0086518B"/>
    <w:rsid w:val="008660B9"/>
    <w:rsid w:val="00867B32"/>
    <w:rsid w:val="00871359"/>
    <w:rsid w:val="008740AA"/>
    <w:rsid w:val="00876E31"/>
    <w:rsid w:val="00884E98"/>
    <w:rsid w:val="00892076"/>
    <w:rsid w:val="0089749D"/>
    <w:rsid w:val="008976B4"/>
    <w:rsid w:val="008A1D45"/>
    <w:rsid w:val="008A25BE"/>
    <w:rsid w:val="008A2EF8"/>
    <w:rsid w:val="008A5471"/>
    <w:rsid w:val="008A5F58"/>
    <w:rsid w:val="008A7D9A"/>
    <w:rsid w:val="008B01A1"/>
    <w:rsid w:val="008B075A"/>
    <w:rsid w:val="008B0A17"/>
    <w:rsid w:val="008B2904"/>
    <w:rsid w:val="008B2BCB"/>
    <w:rsid w:val="008B3248"/>
    <w:rsid w:val="008B3480"/>
    <w:rsid w:val="008B65A2"/>
    <w:rsid w:val="008B6B56"/>
    <w:rsid w:val="008B6D43"/>
    <w:rsid w:val="008C2DCD"/>
    <w:rsid w:val="008D1C3D"/>
    <w:rsid w:val="008D2FBD"/>
    <w:rsid w:val="008D62AE"/>
    <w:rsid w:val="008E1BC2"/>
    <w:rsid w:val="008E23FF"/>
    <w:rsid w:val="008E38E2"/>
    <w:rsid w:val="008E47DB"/>
    <w:rsid w:val="008E4FA7"/>
    <w:rsid w:val="008E708F"/>
    <w:rsid w:val="008E7D9D"/>
    <w:rsid w:val="008F079A"/>
    <w:rsid w:val="008F50E9"/>
    <w:rsid w:val="008F6527"/>
    <w:rsid w:val="008F7496"/>
    <w:rsid w:val="008F78FD"/>
    <w:rsid w:val="008F79AE"/>
    <w:rsid w:val="0090040F"/>
    <w:rsid w:val="00900ABB"/>
    <w:rsid w:val="00904328"/>
    <w:rsid w:val="00906E70"/>
    <w:rsid w:val="009101C8"/>
    <w:rsid w:val="009111DA"/>
    <w:rsid w:val="00911492"/>
    <w:rsid w:val="00912DEC"/>
    <w:rsid w:val="009168E0"/>
    <w:rsid w:val="009206F1"/>
    <w:rsid w:val="00923F2F"/>
    <w:rsid w:val="00926FB9"/>
    <w:rsid w:val="00927733"/>
    <w:rsid w:val="00927A01"/>
    <w:rsid w:val="00927A9B"/>
    <w:rsid w:val="00927F14"/>
    <w:rsid w:val="00930776"/>
    <w:rsid w:val="009344C6"/>
    <w:rsid w:val="0093476E"/>
    <w:rsid w:val="009348F5"/>
    <w:rsid w:val="00940C80"/>
    <w:rsid w:val="0094164E"/>
    <w:rsid w:val="00941E0A"/>
    <w:rsid w:val="00950D00"/>
    <w:rsid w:val="00953CF9"/>
    <w:rsid w:val="0095717F"/>
    <w:rsid w:val="00961B24"/>
    <w:rsid w:val="009629EF"/>
    <w:rsid w:val="009663CC"/>
    <w:rsid w:val="00967251"/>
    <w:rsid w:val="00967E8F"/>
    <w:rsid w:val="00987EA7"/>
    <w:rsid w:val="009923B1"/>
    <w:rsid w:val="00993482"/>
    <w:rsid w:val="0099437B"/>
    <w:rsid w:val="00995A2F"/>
    <w:rsid w:val="009A1A54"/>
    <w:rsid w:val="009A2311"/>
    <w:rsid w:val="009A2EDD"/>
    <w:rsid w:val="009A3A80"/>
    <w:rsid w:val="009A4076"/>
    <w:rsid w:val="009A6103"/>
    <w:rsid w:val="009A68FE"/>
    <w:rsid w:val="009A6FE7"/>
    <w:rsid w:val="009B3744"/>
    <w:rsid w:val="009B7544"/>
    <w:rsid w:val="009C0069"/>
    <w:rsid w:val="009C0761"/>
    <w:rsid w:val="009C3ACB"/>
    <w:rsid w:val="009C63BD"/>
    <w:rsid w:val="009C6EEE"/>
    <w:rsid w:val="009D2CD6"/>
    <w:rsid w:val="009D6B48"/>
    <w:rsid w:val="009E0DE5"/>
    <w:rsid w:val="009E662C"/>
    <w:rsid w:val="009F0636"/>
    <w:rsid w:val="009F0B6A"/>
    <w:rsid w:val="00A01C83"/>
    <w:rsid w:val="00A029BF"/>
    <w:rsid w:val="00A047ED"/>
    <w:rsid w:val="00A05057"/>
    <w:rsid w:val="00A07F4E"/>
    <w:rsid w:val="00A11F86"/>
    <w:rsid w:val="00A17897"/>
    <w:rsid w:val="00A22AA0"/>
    <w:rsid w:val="00A23F9C"/>
    <w:rsid w:val="00A309F7"/>
    <w:rsid w:val="00A30D08"/>
    <w:rsid w:val="00A3128B"/>
    <w:rsid w:val="00A3637D"/>
    <w:rsid w:val="00A375BB"/>
    <w:rsid w:val="00A442D2"/>
    <w:rsid w:val="00A51D21"/>
    <w:rsid w:val="00A52521"/>
    <w:rsid w:val="00A53664"/>
    <w:rsid w:val="00A53D83"/>
    <w:rsid w:val="00A53E1E"/>
    <w:rsid w:val="00A56904"/>
    <w:rsid w:val="00A613D0"/>
    <w:rsid w:val="00A63800"/>
    <w:rsid w:val="00A63890"/>
    <w:rsid w:val="00A63F18"/>
    <w:rsid w:val="00A65FAA"/>
    <w:rsid w:val="00A71166"/>
    <w:rsid w:val="00A72A41"/>
    <w:rsid w:val="00A80733"/>
    <w:rsid w:val="00A81567"/>
    <w:rsid w:val="00A83D8F"/>
    <w:rsid w:val="00A848BC"/>
    <w:rsid w:val="00A875BE"/>
    <w:rsid w:val="00A87614"/>
    <w:rsid w:val="00A92E0F"/>
    <w:rsid w:val="00A978B7"/>
    <w:rsid w:val="00AA02E6"/>
    <w:rsid w:val="00AA1BB7"/>
    <w:rsid w:val="00AA23B0"/>
    <w:rsid w:val="00AB3D43"/>
    <w:rsid w:val="00AB5D23"/>
    <w:rsid w:val="00AB6455"/>
    <w:rsid w:val="00AB69BB"/>
    <w:rsid w:val="00AC1BEC"/>
    <w:rsid w:val="00AC42C3"/>
    <w:rsid w:val="00AC4F74"/>
    <w:rsid w:val="00AC5B0B"/>
    <w:rsid w:val="00AC762F"/>
    <w:rsid w:val="00AD17F7"/>
    <w:rsid w:val="00AD48B9"/>
    <w:rsid w:val="00AE13AE"/>
    <w:rsid w:val="00AE2E37"/>
    <w:rsid w:val="00AE3572"/>
    <w:rsid w:val="00AE5092"/>
    <w:rsid w:val="00AF2002"/>
    <w:rsid w:val="00B00B96"/>
    <w:rsid w:val="00B0284A"/>
    <w:rsid w:val="00B0372D"/>
    <w:rsid w:val="00B04CD1"/>
    <w:rsid w:val="00B07475"/>
    <w:rsid w:val="00B1104E"/>
    <w:rsid w:val="00B138AE"/>
    <w:rsid w:val="00B14B1F"/>
    <w:rsid w:val="00B17ED4"/>
    <w:rsid w:val="00B27FAA"/>
    <w:rsid w:val="00B347AD"/>
    <w:rsid w:val="00B3605E"/>
    <w:rsid w:val="00B45C2F"/>
    <w:rsid w:val="00B46EBC"/>
    <w:rsid w:val="00B54886"/>
    <w:rsid w:val="00B556EC"/>
    <w:rsid w:val="00B57E63"/>
    <w:rsid w:val="00B63432"/>
    <w:rsid w:val="00B66EB7"/>
    <w:rsid w:val="00B675BF"/>
    <w:rsid w:val="00B67EC7"/>
    <w:rsid w:val="00B7405A"/>
    <w:rsid w:val="00B752B6"/>
    <w:rsid w:val="00B758C0"/>
    <w:rsid w:val="00B762D8"/>
    <w:rsid w:val="00B76427"/>
    <w:rsid w:val="00B8059F"/>
    <w:rsid w:val="00B87E7D"/>
    <w:rsid w:val="00B90031"/>
    <w:rsid w:val="00B95B2D"/>
    <w:rsid w:val="00B9733D"/>
    <w:rsid w:val="00BA15A0"/>
    <w:rsid w:val="00BA48F0"/>
    <w:rsid w:val="00BA4DAF"/>
    <w:rsid w:val="00BA4FFB"/>
    <w:rsid w:val="00BA56A3"/>
    <w:rsid w:val="00BB0591"/>
    <w:rsid w:val="00BB168B"/>
    <w:rsid w:val="00BC01CF"/>
    <w:rsid w:val="00BC1EC7"/>
    <w:rsid w:val="00BC4C8B"/>
    <w:rsid w:val="00BD009B"/>
    <w:rsid w:val="00BD05C6"/>
    <w:rsid w:val="00BD1A94"/>
    <w:rsid w:val="00BD42E3"/>
    <w:rsid w:val="00BD7224"/>
    <w:rsid w:val="00BD7442"/>
    <w:rsid w:val="00BE50BE"/>
    <w:rsid w:val="00BE6970"/>
    <w:rsid w:val="00BF02A0"/>
    <w:rsid w:val="00BF0BF1"/>
    <w:rsid w:val="00BF13C4"/>
    <w:rsid w:val="00BF2CED"/>
    <w:rsid w:val="00BF36E9"/>
    <w:rsid w:val="00BF3AD1"/>
    <w:rsid w:val="00BF482E"/>
    <w:rsid w:val="00BF4D17"/>
    <w:rsid w:val="00BF7C75"/>
    <w:rsid w:val="00C145D3"/>
    <w:rsid w:val="00C15F86"/>
    <w:rsid w:val="00C16BD3"/>
    <w:rsid w:val="00C2181C"/>
    <w:rsid w:val="00C23FFD"/>
    <w:rsid w:val="00C261C4"/>
    <w:rsid w:val="00C31091"/>
    <w:rsid w:val="00C42A14"/>
    <w:rsid w:val="00C43882"/>
    <w:rsid w:val="00C51735"/>
    <w:rsid w:val="00C51E85"/>
    <w:rsid w:val="00C53390"/>
    <w:rsid w:val="00C54255"/>
    <w:rsid w:val="00C553F2"/>
    <w:rsid w:val="00C7065A"/>
    <w:rsid w:val="00C72FDA"/>
    <w:rsid w:val="00C76CBE"/>
    <w:rsid w:val="00C80CB3"/>
    <w:rsid w:val="00C81803"/>
    <w:rsid w:val="00C821C2"/>
    <w:rsid w:val="00C8224D"/>
    <w:rsid w:val="00C82F6F"/>
    <w:rsid w:val="00C842CE"/>
    <w:rsid w:val="00C8521E"/>
    <w:rsid w:val="00C9007C"/>
    <w:rsid w:val="00C95681"/>
    <w:rsid w:val="00C968FF"/>
    <w:rsid w:val="00C974D4"/>
    <w:rsid w:val="00CA48CB"/>
    <w:rsid w:val="00CB13CD"/>
    <w:rsid w:val="00CB17A3"/>
    <w:rsid w:val="00CB1BE4"/>
    <w:rsid w:val="00CB519F"/>
    <w:rsid w:val="00CB5DF1"/>
    <w:rsid w:val="00CB68DF"/>
    <w:rsid w:val="00CC2A10"/>
    <w:rsid w:val="00CC2A1F"/>
    <w:rsid w:val="00CC427A"/>
    <w:rsid w:val="00CC5796"/>
    <w:rsid w:val="00CC7EA8"/>
    <w:rsid w:val="00CD14B2"/>
    <w:rsid w:val="00CD18EF"/>
    <w:rsid w:val="00CD457D"/>
    <w:rsid w:val="00CD51AB"/>
    <w:rsid w:val="00CE49F2"/>
    <w:rsid w:val="00CE5B4E"/>
    <w:rsid w:val="00CE6AF7"/>
    <w:rsid w:val="00CF090D"/>
    <w:rsid w:val="00CF167F"/>
    <w:rsid w:val="00CF1AE5"/>
    <w:rsid w:val="00CF2017"/>
    <w:rsid w:val="00CF235E"/>
    <w:rsid w:val="00CF30D1"/>
    <w:rsid w:val="00CF4C29"/>
    <w:rsid w:val="00D01CDC"/>
    <w:rsid w:val="00D01D5D"/>
    <w:rsid w:val="00D06F52"/>
    <w:rsid w:val="00D07D5F"/>
    <w:rsid w:val="00D1117C"/>
    <w:rsid w:val="00D11698"/>
    <w:rsid w:val="00D12DFE"/>
    <w:rsid w:val="00D2184A"/>
    <w:rsid w:val="00D25F2A"/>
    <w:rsid w:val="00D27DF8"/>
    <w:rsid w:val="00D30E72"/>
    <w:rsid w:val="00D32738"/>
    <w:rsid w:val="00D33148"/>
    <w:rsid w:val="00D33DAC"/>
    <w:rsid w:val="00D41788"/>
    <w:rsid w:val="00D42704"/>
    <w:rsid w:val="00D440E9"/>
    <w:rsid w:val="00D44179"/>
    <w:rsid w:val="00D45A30"/>
    <w:rsid w:val="00D51C52"/>
    <w:rsid w:val="00D60026"/>
    <w:rsid w:val="00D6411A"/>
    <w:rsid w:val="00D673AD"/>
    <w:rsid w:val="00D809AC"/>
    <w:rsid w:val="00D86486"/>
    <w:rsid w:val="00D92134"/>
    <w:rsid w:val="00D925AA"/>
    <w:rsid w:val="00D9428C"/>
    <w:rsid w:val="00D94AE1"/>
    <w:rsid w:val="00D94B14"/>
    <w:rsid w:val="00D96A2E"/>
    <w:rsid w:val="00DA2D14"/>
    <w:rsid w:val="00DA2FFA"/>
    <w:rsid w:val="00DA7E76"/>
    <w:rsid w:val="00DB1EF1"/>
    <w:rsid w:val="00DB5035"/>
    <w:rsid w:val="00DB5A0C"/>
    <w:rsid w:val="00DC103D"/>
    <w:rsid w:val="00DC2CA9"/>
    <w:rsid w:val="00DC3A4B"/>
    <w:rsid w:val="00DC60EF"/>
    <w:rsid w:val="00DC7C97"/>
    <w:rsid w:val="00DE334A"/>
    <w:rsid w:val="00DE427F"/>
    <w:rsid w:val="00DE6F40"/>
    <w:rsid w:val="00DF3852"/>
    <w:rsid w:val="00DF4B5F"/>
    <w:rsid w:val="00DF58E1"/>
    <w:rsid w:val="00DF6C95"/>
    <w:rsid w:val="00E037A9"/>
    <w:rsid w:val="00E0521E"/>
    <w:rsid w:val="00E06D32"/>
    <w:rsid w:val="00E1042E"/>
    <w:rsid w:val="00E13B3F"/>
    <w:rsid w:val="00E14A30"/>
    <w:rsid w:val="00E14F60"/>
    <w:rsid w:val="00E169AB"/>
    <w:rsid w:val="00E17207"/>
    <w:rsid w:val="00E21FD2"/>
    <w:rsid w:val="00E22A16"/>
    <w:rsid w:val="00E22DC8"/>
    <w:rsid w:val="00E25913"/>
    <w:rsid w:val="00E3055E"/>
    <w:rsid w:val="00E30E8B"/>
    <w:rsid w:val="00E324AB"/>
    <w:rsid w:val="00E329D5"/>
    <w:rsid w:val="00E46E3F"/>
    <w:rsid w:val="00E51112"/>
    <w:rsid w:val="00E511B3"/>
    <w:rsid w:val="00E51E03"/>
    <w:rsid w:val="00E535AB"/>
    <w:rsid w:val="00E600F4"/>
    <w:rsid w:val="00E61120"/>
    <w:rsid w:val="00E63385"/>
    <w:rsid w:val="00E700BE"/>
    <w:rsid w:val="00E85B61"/>
    <w:rsid w:val="00E927B9"/>
    <w:rsid w:val="00E93E9C"/>
    <w:rsid w:val="00EA5B7A"/>
    <w:rsid w:val="00EA6AFF"/>
    <w:rsid w:val="00EA71D9"/>
    <w:rsid w:val="00EB57FE"/>
    <w:rsid w:val="00EC1DAB"/>
    <w:rsid w:val="00EC1F61"/>
    <w:rsid w:val="00EC2BFE"/>
    <w:rsid w:val="00EC3EDA"/>
    <w:rsid w:val="00EC6AB8"/>
    <w:rsid w:val="00ED18C7"/>
    <w:rsid w:val="00ED3537"/>
    <w:rsid w:val="00ED613F"/>
    <w:rsid w:val="00EE3420"/>
    <w:rsid w:val="00EE4DB2"/>
    <w:rsid w:val="00EE6C60"/>
    <w:rsid w:val="00EF3211"/>
    <w:rsid w:val="00EF3446"/>
    <w:rsid w:val="00F05661"/>
    <w:rsid w:val="00F07E69"/>
    <w:rsid w:val="00F103B5"/>
    <w:rsid w:val="00F1537B"/>
    <w:rsid w:val="00F16DF7"/>
    <w:rsid w:val="00F200DC"/>
    <w:rsid w:val="00F20619"/>
    <w:rsid w:val="00F238DC"/>
    <w:rsid w:val="00F23D63"/>
    <w:rsid w:val="00F25844"/>
    <w:rsid w:val="00F25C79"/>
    <w:rsid w:val="00F26693"/>
    <w:rsid w:val="00F27517"/>
    <w:rsid w:val="00F301D0"/>
    <w:rsid w:val="00F31FCA"/>
    <w:rsid w:val="00F32E20"/>
    <w:rsid w:val="00F335BD"/>
    <w:rsid w:val="00F377A7"/>
    <w:rsid w:val="00F403BD"/>
    <w:rsid w:val="00F410F7"/>
    <w:rsid w:val="00F42395"/>
    <w:rsid w:val="00F45726"/>
    <w:rsid w:val="00F52D2F"/>
    <w:rsid w:val="00F571AC"/>
    <w:rsid w:val="00F575FF"/>
    <w:rsid w:val="00F60F29"/>
    <w:rsid w:val="00F61316"/>
    <w:rsid w:val="00F61E5B"/>
    <w:rsid w:val="00F6577D"/>
    <w:rsid w:val="00F66120"/>
    <w:rsid w:val="00F72690"/>
    <w:rsid w:val="00F75951"/>
    <w:rsid w:val="00F8135A"/>
    <w:rsid w:val="00F86DB2"/>
    <w:rsid w:val="00F8770C"/>
    <w:rsid w:val="00F91204"/>
    <w:rsid w:val="00F915E9"/>
    <w:rsid w:val="00F92043"/>
    <w:rsid w:val="00F92F92"/>
    <w:rsid w:val="00F938D8"/>
    <w:rsid w:val="00F94C43"/>
    <w:rsid w:val="00FA41AC"/>
    <w:rsid w:val="00FA491D"/>
    <w:rsid w:val="00FA545A"/>
    <w:rsid w:val="00FB293E"/>
    <w:rsid w:val="00FB3AFA"/>
    <w:rsid w:val="00FB3EF5"/>
    <w:rsid w:val="00FB3FAD"/>
    <w:rsid w:val="00FB6301"/>
    <w:rsid w:val="00FB72D0"/>
    <w:rsid w:val="00FC3112"/>
    <w:rsid w:val="00FC513D"/>
    <w:rsid w:val="00FD13F6"/>
    <w:rsid w:val="00FD29DE"/>
    <w:rsid w:val="00FD59F2"/>
    <w:rsid w:val="00FD5CC4"/>
    <w:rsid w:val="00FD669A"/>
    <w:rsid w:val="00FE025D"/>
    <w:rsid w:val="00FE0272"/>
    <w:rsid w:val="00FE1BC3"/>
    <w:rsid w:val="00FE246C"/>
    <w:rsid w:val="00FE458F"/>
    <w:rsid w:val="00FE68D8"/>
    <w:rsid w:val="00FE6E36"/>
    <w:rsid w:val="00FE6F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martTagType w:namespaceuri="urn:schemas-microsoft-com:office:smarttags" w:name="City"/>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D4ABD"/>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A48CB"/>
    <w:pPr>
      <w:tabs>
        <w:tab w:val="center" w:pos="4320"/>
        <w:tab w:val="right" w:pos="8640"/>
      </w:tabs>
    </w:pPr>
  </w:style>
  <w:style w:type="paragraph" w:styleId="Footer">
    <w:name w:val="footer"/>
    <w:basedOn w:val="Normal"/>
    <w:rsid w:val="00CA48CB"/>
    <w:pPr>
      <w:tabs>
        <w:tab w:val="center" w:pos="4320"/>
        <w:tab w:val="right" w:pos="8640"/>
      </w:tabs>
    </w:pPr>
  </w:style>
  <w:style w:type="character" w:styleId="PageNumber">
    <w:name w:val="page number"/>
    <w:basedOn w:val="DefaultParagraphFont"/>
    <w:rsid w:val="00C553F2"/>
  </w:style>
  <w:style w:type="paragraph" w:styleId="BalloonText">
    <w:name w:val="Balloon Text"/>
    <w:basedOn w:val="Normal"/>
    <w:link w:val="BalloonTextChar"/>
    <w:rsid w:val="00A83D8F"/>
    <w:rPr>
      <w:rFonts w:ascii="Tahoma" w:hAnsi="Tahoma" w:cs="Tahoma"/>
      <w:sz w:val="16"/>
      <w:szCs w:val="16"/>
    </w:rPr>
  </w:style>
  <w:style w:type="character" w:customStyle="1" w:styleId="BalloonTextChar">
    <w:name w:val="Balloon Text Char"/>
    <w:basedOn w:val="DefaultParagraphFont"/>
    <w:link w:val="BalloonText"/>
    <w:rsid w:val="00A83D8F"/>
    <w:rPr>
      <w:rFonts w:ascii="Tahoma" w:hAnsi="Tahoma" w:cs="Tahoma"/>
      <w:sz w:val="16"/>
      <w:szCs w:val="16"/>
    </w:rPr>
  </w:style>
  <w:style w:type="paragraph" w:styleId="ListParagraph">
    <w:name w:val="List Paragraph"/>
    <w:basedOn w:val="Normal"/>
    <w:uiPriority w:val="34"/>
    <w:qFormat/>
    <w:rsid w:val="00EC2BFE"/>
    <w:pPr>
      <w:spacing w:line="276" w:lineRule="auto"/>
      <w:ind w:left="720"/>
      <w:contextualSpacing/>
    </w:pPr>
    <w:rPr>
      <w:rFonts w:asciiTheme="minorHAnsi" w:eastAsiaTheme="minorHAnsi" w:hAnsiTheme="minorHAnsi" w:cstheme="minorBidi"/>
      <w:sz w:val="22"/>
      <w:szCs w:val="22"/>
    </w:rPr>
  </w:style>
  <w:style w:type="paragraph" w:styleId="DocumentMap">
    <w:name w:val="Document Map"/>
    <w:basedOn w:val="Normal"/>
    <w:link w:val="DocumentMapChar"/>
    <w:rsid w:val="00AE3572"/>
    <w:rPr>
      <w:rFonts w:ascii="Tahoma" w:hAnsi="Tahoma" w:cs="Tahoma"/>
      <w:sz w:val="16"/>
      <w:szCs w:val="16"/>
    </w:rPr>
  </w:style>
  <w:style w:type="character" w:customStyle="1" w:styleId="DocumentMapChar">
    <w:name w:val="Document Map Char"/>
    <w:basedOn w:val="DefaultParagraphFont"/>
    <w:link w:val="DocumentMap"/>
    <w:rsid w:val="00AE3572"/>
    <w:rPr>
      <w:rFonts w:ascii="Tahoma" w:hAnsi="Tahoma" w:cs="Tahoma"/>
      <w:sz w:val="16"/>
      <w:szCs w:val="16"/>
    </w:rPr>
  </w:style>
  <w:style w:type="character" w:customStyle="1" w:styleId="HeaderChar">
    <w:name w:val="Header Char"/>
    <w:basedOn w:val="DefaultParagraphFont"/>
    <w:link w:val="Header"/>
    <w:uiPriority w:val="99"/>
    <w:rsid w:val="00F42395"/>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D4ABD"/>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A48CB"/>
    <w:pPr>
      <w:tabs>
        <w:tab w:val="center" w:pos="4320"/>
        <w:tab w:val="right" w:pos="8640"/>
      </w:tabs>
    </w:pPr>
  </w:style>
  <w:style w:type="paragraph" w:styleId="Footer">
    <w:name w:val="footer"/>
    <w:basedOn w:val="Normal"/>
    <w:rsid w:val="00CA48CB"/>
    <w:pPr>
      <w:tabs>
        <w:tab w:val="center" w:pos="4320"/>
        <w:tab w:val="right" w:pos="8640"/>
      </w:tabs>
    </w:pPr>
  </w:style>
  <w:style w:type="character" w:styleId="PageNumber">
    <w:name w:val="page number"/>
    <w:basedOn w:val="DefaultParagraphFont"/>
    <w:rsid w:val="00C553F2"/>
  </w:style>
  <w:style w:type="paragraph" w:styleId="BalloonText">
    <w:name w:val="Balloon Text"/>
    <w:basedOn w:val="Normal"/>
    <w:link w:val="BalloonTextChar"/>
    <w:rsid w:val="00A83D8F"/>
    <w:rPr>
      <w:rFonts w:ascii="Tahoma" w:hAnsi="Tahoma" w:cs="Tahoma"/>
      <w:sz w:val="16"/>
      <w:szCs w:val="16"/>
    </w:rPr>
  </w:style>
  <w:style w:type="character" w:customStyle="1" w:styleId="BalloonTextChar">
    <w:name w:val="Balloon Text Char"/>
    <w:basedOn w:val="DefaultParagraphFont"/>
    <w:link w:val="BalloonText"/>
    <w:rsid w:val="00A83D8F"/>
    <w:rPr>
      <w:rFonts w:ascii="Tahoma" w:hAnsi="Tahoma" w:cs="Tahoma"/>
      <w:sz w:val="16"/>
      <w:szCs w:val="16"/>
    </w:rPr>
  </w:style>
  <w:style w:type="paragraph" w:styleId="ListParagraph">
    <w:name w:val="List Paragraph"/>
    <w:basedOn w:val="Normal"/>
    <w:uiPriority w:val="34"/>
    <w:qFormat/>
    <w:rsid w:val="00EC2BFE"/>
    <w:pPr>
      <w:spacing w:line="276" w:lineRule="auto"/>
      <w:ind w:left="720"/>
      <w:contextualSpacing/>
    </w:pPr>
    <w:rPr>
      <w:rFonts w:asciiTheme="minorHAnsi" w:eastAsiaTheme="minorHAnsi" w:hAnsiTheme="minorHAnsi" w:cstheme="minorBidi"/>
      <w:sz w:val="22"/>
      <w:szCs w:val="22"/>
    </w:rPr>
  </w:style>
  <w:style w:type="paragraph" w:styleId="DocumentMap">
    <w:name w:val="Document Map"/>
    <w:basedOn w:val="Normal"/>
    <w:link w:val="DocumentMapChar"/>
    <w:rsid w:val="00AE3572"/>
    <w:rPr>
      <w:rFonts w:ascii="Tahoma" w:hAnsi="Tahoma" w:cs="Tahoma"/>
      <w:sz w:val="16"/>
      <w:szCs w:val="16"/>
    </w:rPr>
  </w:style>
  <w:style w:type="character" w:customStyle="1" w:styleId="DocumentMapChar">
    <w:name w:val="Document Map Char"/>
    <w:basedOn w:val="DefaultParagraphFont"/>
    <w:link w:val="DocumentMap"/>
    <w:rsid w:val="00AE3572"/>
    <w:rPr>
      <w:rFonts w:ascii="Tahoma" w:hAnsi="Tahoma" w:cs="Tahoma"/>
      <w:sz w:val="16"/>
      <w:szCs w:val="16"/>
    </w:rPr>
  </w:style>
  <w:style w:type="character" w:customStyle="1" w:styleId="HeaderChar">
    <w:name w:val="Header Char"/>
    <w:basedOn w:val="DefaultParagraphFont"/>
    <w:link w:val="Header"/>
    <w:uiPriority w:val="99"/>
    <w:rsid w:val="00F4239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96894">
      <w:bodyDiv w:val="1"/>
      <w:marLeft w:val="0"/>
      <w:marRight w:val="0"/>
      <w:marTop w:val="0"/>
      <w:marBottom w:val="0"/>
      <w:divBdr>
        <w:top w:val="none" w:sz="0" w:space="0" w:color="auto"/>
        <w:left w:val="none" w:sz="0" w:space="0" w:color="auto"/>
        <w:bottom w:val="none" w:sz="0" w:space="0" w:color="auto"/>
        <w:right w:val="none" w:sz="0" w:space="0" w:color="auto"/>
      </w:divBdr>
    </w:div>
    <w:div w:id="17464019">
      <w:bodyDiv w:val="1"/>
      <w:marLeft w:val="0"/>
      <w:marRight w:val="0"/>
      <w:marTop w:val="0"/>
      <w:marBottom w:val="0"/>
      <w:divBdr>
        <w:top w:val="none" w:sz="0" w:space="0" w:color="auto"/>
        <w:left w:val="none" w:sz="0" w:space="0" w:color="auto"/>
        <w:bottom w:val="none" w:sz="0" w:space="0" w:color="auto"/>
        <w:right w:val="none" w:sz="0" w:space="0" w:color="auto"/>
      </w:divBdr>
    </w:div>
    <w:div w:id="26377997">
      <w:bodyDiv w:val="1"/>
      <w:marLeft w:val="0"/>
      <w:marRight w:val="0"/>
      <w:marTop w:val="0"/>
      <w:marBottom w:val="0"/>
      <w:divBdr>
        <w:top w:val="none" w:sz="0" w:space="0" w:color="auto"/>
        <w:left w:val="none" w:sz="0" w:space="0" w:color="auto"/>
        <w:bottom w:val="none" w:sz="0" w:space="0" w:color="auto"/>
        <w:right w:val="none" w:sz="0" w:space="0" w:color="auto"/>
      </w:divBdr>
    </w:div>
    <w:div w:id="26566642">
      <w:bodyDiv w:val="1"/>
      <w:marLeft w:val="0"/>
      <w:marRight w:val="0"/>
      <w:marTop w:val="0"/>
      <w:marBottom w:val="0"/>
      <w:divBdr>
        <w:top w:val="none" w:sz="0" w:space="0" w:color="auto"/>
        <w:left w:val="none" w:sz="0" w:space="0" w:color="auto"/>
        <w:bottom w:val="none" w:sz="0" w:space="0" w:color="auto"/>
        <w:right w:val="none" w:sz="0" w:space="0" w:color="auto"/>
      </w:divBdr>
    </w:div>
    <w:div w:id="28068495">
      <w:bodyDiv w:val="1"/>
      <w:marLeft w:val="0"/>
      <w:marRight w:val="0"/>
      <w:marTop w:val="0"/>
      <w:marBottom w:val="0"/>
      <w:divBdr>
        <w:top w:val="none" w:sz="0" w:space="0" w:color="auto"/>
        <w:left w:val="none" w:sz="0" w:space="0" w:color="auto"/>
        <w:bottom w:val="none" w:sz="0" w:space="0" w:color="auto"/>
        <w:right w:val="none" w:sz="0" w:space="0" w:color="auto"/>
      </w:divBdr>
    </w:div>
    <w:div w:id="28185697">
      <w:bodyDiv w:val="1"/>
      <w:marLeft w:val="0"/>
      <w:marRight w:val="0"/>
      <w:marTop w:val="0"/>
      <w:marBottom w:val="0"/>
      <w:divBdr>
        <w:top w:val="none" w:sz="0" w:space="0" w:color="auto"/>
        <w:left w:val="none" w:sz="0" w:space="0" w:color="auto"/>
        <w:bottom w:val="none" w:sz="0" w:space="0" w:color="auto"/>
        <w:right w:val="none" w:sz="0" w:space="0" w:color="auto"/>
      </w:divBdr>
    </w:div>
    <w:div w:id="30226038">
      <w:bodyDiv w:val="1"/>
      <w:marLeft w:val="0"/>
      <w:marRight w:val="0"/>
      <w:marTop w:val="0"/>
      <w:marBottom w:val="0"/>
      <w:divBdr>
        <w:top w:val="none" w:sz="0" w:space="0" w:color="auto"/>
        <w:left w:val="none" w:sz="0" w:space="0" w:color="auto"/>
        <w:bottom w:val="none" w:sz="0" w:space="0" w:color="auto"/>
        <w:right w:val="none" w:sz="0" w:space="0" w:color="auto"/>
      </w:divBdr>
    </w:div>
    <w:div w:id="31422568">
      <w:bodyDiv w:val="1"/>
      <w:marLeft w:val="0"/>
      <w:marRight w:val="0"/>
      <w:marTop w:val="0"/>
      <w:marBottom w:val="0"/>
      <w:divBdr>
        <w:top w:val="none" w:sz="0" w:space="0" w:color="auto"/>
        <w:left w:val="none" w:sz="0" w:space="0" w:color="auto"/>
        <w:bottom w:val="none" w:sz="0" w:space="0" w:color="auto"/>
        <w:right w:val="none" w:sz="0" w:space="0" w:color="auto"/>
      </w:divBdr>
    </w:div>
    <w:div w:id="31733515">
      <w:bodyDiv w:val="1"/>
      <w:marLeft w:val="0"/>
      <w:marRight w:val="0"/>
      <w:marTop w:val="0"/>
      <w:marBottom w:val="0"/>
      <w:divBdr>
        <w:top w:val="none" w:sz="0" w:space="0" w:color="auto"/>
        <w:left w:val="none" w:sz="0" w:space="0" w:color="auto"/>
        <w:bottom w:val="none" w:sz="0" w:space="0" w:color="auto"/>
        <w:right w:val="none" w:sz="0" w:space="0" w:color="auto"/>
      </w:divBdr>
    </w:div>
    <w:div w:id="32123745">
      <w:bodyDiv w:val="1"/>
      <w:marLeft w:val="0"/>
      <w:marRight w:val="0"/>
      <w:marTop w:val="0"/>
      <w:marBottom w:val="0"/>
      <w:divBdr>
        <w:top w:val="none" w:sz="0" w:space="0" w:color="auto"/>
        <w:left w:val="none" w:sz="0" w:space="0" w:color="auto"/>
        <w:bottom w:val="none" w:sz="0" w:space="0" w:color="auto"/>
        <w:right w:val="none" w:sz="0" w:space="0" w:color="auto"/>
      </w:divBdr>
    </w:div>
    <w:div w:id="50231899">
      <w:bodyDiv w:val="1"/>
      <w:marLeft w:val="0"/>
      <w:marRight w:val="0"/>
      <w:marTop w:val="0"/>
      <w:marBottom w:val="0"/>
      <w:divBdr>
        <w:top w:val="none" w:sz="0" w:space="0" w:color="auto"/>
        <w:left w:val="none" w:sz="0" w:space="0" w:color="auto"/>
        <w:bottom w:val="none" w:sz="0" w:space="0" w:color="auto"/>
        <w:right w:val="none" w:sz="0" w:space="0" w:color="auto"/>
      </w:divBdr>
    </w:div>
    <w:div w:id="50930268">
      <w:bodyDiv w:val="1"/>
      <w:marLeft w:val="0"/>
      <w:marRight w:val="0"/>
      <w:marTop w:val="0"/>
      <w:marBottom w:val="0"/>
      <w:divBdr>
        <w:top w:val="none" w:sz="0" w:space="0" w:color="auto"/>
        <w:left w:val="none" w:sz="0" w:space="0" w:color="auto"/>
        <w:bottom w:val="none" w:sz="0" w:space="0" w:color="auto"/>
        <w:right w:val="none" w:sz="0" w:space="0" w:color="auto"/>
      </w:divBdr>
    </w:div>
    <w:div w:id="51121259">
      <w:bodyDiv w:val="1"/>
      <w:marLeft w:val="0"/>
      <w:marRight w:val="0"/>
      <w:marTop w:val="0"/>
      <w:marBottom w:val="0"/>
      <w:divBdr>
        <w:top w:val="none" w:sz="0" w:space="0" w:color="auto"/>
        <w:left w:val="none" w:sz="0" w:space="0" w:color="auto"/>
        <w:bottom w:val="none" w:sz="0" w:space="0" w:color="auto"/>
        <w:right w:val="none" w:sz="0" w:space="0" w:color="auto"/>
      </w:divBdr>
    </w:div>
    <w:div w:id="57637336">
      <w:bodyDiv w:val="1"/>
      <w:marLeft w:val="0"/>
      <w:marRight w:val="0"/>
      <w:marTop w:val="0"/>
      <w:marBottom w:val="0"/>
      <w:divBdr>
        <w:top w:val="none" w:sz="0" w:space="0" w:color="auto"/>
        <w:left w:val="none" w:sz="0" w:space="0" w:color="auto"/>
        <w:bottom w:val="none" w:sz="0" w:space="0" w:color="auto"/>
        <w:right w:val="none" w:sz="0" w:space="0" w:color="auto"/>
      </w:divBdr>
    </w:div>
    <w:div w:id="59669924">
      <w:bodyDiv w:val="1"/>
      <w:marLeft w:val="0"/>
      <w:marRight w:val="0"/>
      <w:marTop w:val="0"/>
      <w:marBottom w:val="0"/>
      <w:divBdr>
        <w:top w:val="none" w:sz="0" w:space="0" w:color="auto"/>
        <w:left w:val="none" w:sz="0" w:space="0" w:color="auto"/>
        <w:bottom w:val="none" w:sz="0" w:space="0" w:color="auto"/>
        <w:right w:val="none" w:sz="0" w:space="0" w:color="auto"/>
      </w:divBdr>
    </w:div>
    <w:div w:id="61562006">
      <w:bodyDiv w:val="1"/>
      <w:marLeft w:val="0"/>
      <w:marRight w:val="0"/>
      <w:marTop w:val="0"/>
      <w:marBottom w:val="0"/>
      <w:divBdr>
        <w:top w:val="none" w:sz="0" w:space="0" w:color="auto"/>
        <w:left w:val="none" w:sz="0" w:space="0" w:color="auto"/>
        <w:bottom w:val="none" w:sz="0" w:space="0" w:color="auto"/>
        <w:right w:val="none" w:sz="0" w:space="0" w:color="auto"/>
      </w:divBdr>
    </w:div>
    <w:div w:id="63187062">
      <w:bodyDiv w:val="1"/>
      <w:marLeft w:val="0"/>
      <w:marRight w:val="0"/>
      <w:marTop w:val="0"/>
      <w:marBottom w:val="0"/>
      <w:divBdr>
        <w:top w:val="none" w:sz="0" w:space="0" w:color="auto"/>
        <w:left w:val="none" w:sz="0" w:space="0" w:color="auto"/>
        <w:bottom w:val="none" w:sz="0" w:space="0" w:color="auto"/>
        <w:right w:val="none" w:sz="0" w:space="0" w:color="auto"/>
      </w:divBdr>
    </w:div>
    <w:div w:id="67850026">
      <w:bodyDiv w:val="1"/>
      <w:marLeft w:val="0"/>
      <w:marRight w:val="0"/>
      <w:marTop w:val="0"/>
      <w:marBottom w:val="0"/>
      <w:divBdr>
        <w:top w:val="none" w:sz="0" w:space="0" w:color="auto"/>
        <w:left w:val="none" w:sz="0" w:space="0" w:color="auto"/>
        <w:bottom w:val="none" w:sz="0" w:space="0" w:color="auto"/>
        <w:right w:val="none" w:sz="0" w:space="0" w:color="auto"/>
      </w:divBdr>
    </w:div>
    <w:div w:id="68507550">
      <w:bodyDiv w:val="1"/>
      <w:marLeft w:val="0"/>
      <w:marRight w:val="0"/>
      <w:marTop w:val="0"/>
      <w:marBottom w:val="0"/>
      <w:divBdr>
        <w:top w:val="none" w:sz="0" w:space="0" w:color="auto"/>
        <w:left w:val="none" w:sz="0" w:space="0" w:color="auto"/>
        <w:bottom w:val="none" w:sz="0" w:space="0" w:color="auto"/>
        <w:right w:val="none" w:sz="0" w:space="0" w:color="auto"/>
      </w:divBdr>
    </w:div>
    <w:div w:id="73431639">
      <w:bodyDiv w:val="1"/>
      <w:marLeft w:val="0"/>
      <w:marRight w:val="0"/>
      <w:marTop w:val="0"/>
      <w:marBottom w:val="0"/>
      <w:divBdr>
        <w:top w:val="none" w:sz="0" w:space="0" w:color="auto"/>
        <w:left w:val="none" w:sz="0" w:space="0" w:color="auto"/>
        <w:bottom w:val="none" w:sz="0" w:space="0" w:color="auto"/>
        <w:right w:val="none" w:sz="0" w:space="0" w:color="auto"/>
      </w:divBdr>
    </w:div>
    <w:div w:id="74716395">
      <w:bodyDiv w:val="1"/>
      <w:marLeft w:val="0"/>
      <w:marRight w:val="0"/>
      <w:marTop w:val="0"/>
      <w:marBottom w:val="0"/>
      <w:divBdr>
        <w:top w:val="none" w:sz="0" w:space="0" w:color="auto"/>
        <w:left w:val="none" w:sz="0" w:space="0" w:color="auto"/>
        <w:bottom w:val="none" w:sz="0" w:space="0" w:color="auto"/>
        <w:right w:val="none" w:sz="0" w:space="0" w:color="auto"/>
      </w:divBdr>
    </w:div>
    <w:div w:id="74791580">
      <w:bodyDiv w:val="1"/>
      <w:marLeft w:val="0"/>
      <w:marRight w:val="0"/>
      <w:marTop w:val="0"/>
      <w:marBottom w:val="0"/>
      <w:divBdr>
        <w:top w:val="none" w:sz="0" w:space="0" w:color="auto"/>
        <w:left w:val="none" w:sz="0" w:space="0" w:color="auto"/>
        <w:bottom w:val="none" w:sz="0" w:space="0" w:color="auto"/>
        <w:right w:val="none" w:sz="0" w:space="0" w:color="auto"/>
      </w:divBdr>
    </w:div>
    <w:div w:id="74864695">
      <w:bodyDiv w:val="1"/>
      <w:marLeft w:val="0"/>
      <w:marRight w:val="0"/>
      <w:marTop w:val="0"/>
      <w:marBottom w:val="0"/>
      <w:divBdr>
        <w:top w:val="none" w:sz="0" w:space="0" w:color="auto"/>
        <w:left w:val="none" w:sz="0" w:space="0" w:color="auto"/>
        <w:bottom w:val="none" w:sz="0" w:space="0" w:color="auto"/>
        <w:right w:val="none" w:sz="0" w:space="0" w:color="auto"/>
      </w:divBdr>
    </w:div>
    <w:div w:id="77680738">
      <w:bodyDiv w:val="1"/>
      <w:marLeft w:val="0"/>
      <w:marRight w:val="0"/>
      <w:marTop w:val="0"/>
      <w:marBottom w:val="0"/>
      <w:divBdr>
        <w:top w:val="none" w:sz="0" w:space="0" w:color="auto"/>
        <w:left w:val="none" w:sz="0" w:space="0" w:color="auto"/>
        <w:bottom w:val="none" w:sz="0" w:space="0" w:color="auto"/>
        <w:right w:val="none" w:sz="0" w:space="0" w:color="auto"/>
      </w:divBdr>
    </w:div>
    <w:div w:id="79104576">
      <w:bodyDiv w:val="1"/>
      <w:marLeft w:val="0"/>
      <w:marRight w:val="0"/>
      <w:marTop w:val="0"/>
      <w:marBottom w:val="0"/>
      <w:divBdr>
        <w:top w:val="none" w:sz="0" w:space="0" w:color="auto"/>
        <w:left w:val="none" w:sz="0" w:space="0" w:color="auto"/>
        <w:bottom w:val="none" w:sz="0" w:space="0" w:color="auto"/>
        <w:right w:val="none" w:sz="0" w:space="0" w:color="auto"/>
      </w:divBdr>
    </w:div>
    <w:div w:id="84427225">
      <w:bodyDiv w:val="1"/>
      <w:marLeft w:val="0"/>
      <w:marRight w:val="0"/>
      <w:marTop w:val="0"/>
      <w:marBottom w:val="0"/>
      <w:divBdr>
        <w:top w:val="none" w:sz="0" w:space="0" w:color="auto"/>
        <w:left w:val="none" w:sz="0" w:space="0" w:color="auto"/>
        <w:bottom w:val="none" w:sz="0" w:space="0" w:color="auto"/>
        <w:right w:val="none" w:sz="0" w:space="0" w:color="auto"/>
      </w:divBdr>
    </w:div>
    <w:div w:id="90009462">
      <w:bodyDiv w:val="1"/>
      <w:marLeft w:val="0"/>
      <w:marRight w:val="0"/>
      <w:marTop w:val="0"/>
      <w:marBottom w:val="0"/>
      <w:divBdr>
        <w:top w:val="none" w:sz="0" w:space="0" w:color="auto"/>
        <w:left w:val="none" w:sz="0" w:space="0" w:color="auto"/>
        <w:bottom w:val="none" w:sz="0" w:space="0" w:color="auto"/>
        <w:right w:val="none" w:sz="0" w:space="0" w:color="auto"/>
      </w:divBdr>
    </w:div>
    <w:div w:id="98528782">
      <w:bodyDiv w:val="1"/>
      <w:marLeft w:val="0"/>
      <w:marRight w:val="0"/>
      <w:marTop w:val="0"/>
      <w:marBottom w:val="0"/>
      <w:divBdr>
        <w:top w:val="none" w:sz="0" w:space="0" w:color="auto"/>
        <w:left w:val="none" w:sz="0" w:space="0" w:color="auto"/>
        <w:bottom w:val="none" w:sz="0" w:space="0" w:color="auto"/>
        <w:right w:val="none" w:sz="0" w:space="0" w:color="auto"/>
      </w:divBdr>
    </w:div>
    <w:div w:id="102724926">
      <w:bodyDiv w:val="1"/>
      <w:marLeft w:val="0"/>
      <w:marRight w:val="0"/>
      <w:marTop w:val="0"/>
      <w:marBottom w:val="0"/>
      <w:divBdr>
        <w:top w:val="none" w:sz="0" w:space="0" w:color="auto"/>
        <w:left w:val="none" w:sz="0" w:space="0" w:color="auto"/>
        <w:bottom w:val="none" w:sz="0" w:space="0" w:color="auto"/>
        <w:right w:val="none" w:sz="0" w:space="0" w:color="auto"/>
      </w:divBdr>
    </w:div>
    <w:div w:id="103426014">
      <w:bodyDiv w:val="1"/>
      <w:marLeft w:val="0"/>
      <w:marRight w:val="0"/>
      <w:marTop w:val="0"/>
      <w:marBottom w:val="0"/>
      <w:divBdr>
        <w:top w:val="none" w:sz="0" w:space="0" w:color="auto"/>
        <w:left w:val="none" w:sz="0" w:space="0" w:color="auto"/>
        <w:bottom w:val="none" w:sz="0" w:space="0" w:color="auto"/>
        <w:right w:val="none" w:sz="0" w:space="0" w:color="auto"/>
      </w:divBdr>
    </w:div>
    <w:div w:id="103699343">
      <w:bodyDiv w:val="1"/>
      <w:marLeft w:val="0"/>
      <w:marRight w:val="0"/>
      <w:marTop w:val="0"/>
      <w:marBottom w:val="0"/>
      <w:divBdr>
        <w:top w:val="none" w:sz="0" w:space="0" w:color="auto"/>
        <w:left w:val="none" w:sz="0" w:space="0" w:color="auto"/>
        <w:bottom w:val="none" w:sz="0" w:space="0" w:color="auto"/>
        <w:right w:val="none" w:sz="0" w:space="0" w:color="auto"/>
      </w:divBdr>
    </w:div>
    <w:div w:id="110127920">
      <w:bodyDiv w:val="1"/>
      <w:marLeft w:val="0"/>
      <w:marRight w:val="0"/>
      <w:marTop w:val="0"/>
      <w:marBottom w:val="0"/>
      <w:divBdr>
        <w:top w:val="none" w:sz="0" w:space="0" w:color="auto"/>
        <w:left w:val="none" w:sz="0" w:space="0" w:color="auto"/>
        <w:bottom w:val="none" w:sz="0" w:space="0" w:color="auto"/>
        <w:right w:val="none" w:sz="0" w:space="0" w:color="auto"/>
      </w:divBdr>
    </w:div>
    <w:div w:id="112868794">
      <w:bodyDiv w:val="1"/>
      <w:marLeft w:val="0"/>
      <w:marRight w:val="0"/>
      <w:marTop w:val="0"/>
      <w:marBottom w:val="0"/>
      <w:divBdr>
        <w:top w:val="none" w:sz="0" w:space="0" w:color="auto"/>
        <w:left w:val="none" w:sz="0" w:space="0" w:color="auto"/>
        <w:bottom w:val="none" w:sz="0" w:space="0" w:color="auto"/>
        <w:right w:val="none" w:sz="0" w:space="0" w:color="auto"/>
      </w:divBdr>
    </w:div>
    <w:div w:id="115948508">
      <w:bodyDiv w:val="1"/>
      <w:marLeft w:val="0"/>
      <w:marRight w:val="0"/>
      <w:marTop w:val="0"/>
      <w:marBottom w:val="0"/>
      <w:divBdr>
        <w:top w:val="none" w:sz="0" w:space="0" w:color="auto"/>
        <w:left w:val="none" w:sz="0" w:space="0" w:color="auto"/>
        <w:bottom w:val="none" w:sz="0" w:space="0" w:color="auto"/>
        <w:right w:val="none" w:sz="0" w:space="0" w:color="auto"/>
      </w:divBdr>
    </w:div>
    <w:div w:id="116073397">
      <w:bodyDiv w:val="1"/>
      <w:marLeft w:val="0"/>
      <w:marRight w:val="0"/>
      <w:marTop w:val="0"/>
      <w:marBottom w:val="0"/>
      <w:divBdr>
        <w:top w:val="none" w:sz="0" w:space="0" w:color="auto"/>
        <w:left w:val="none" w:sz="0" w:space="0" w:color="auto"/>
        <w:bottom w:val="none" w:sz="0" w:space="0" w:color="auto"/>
        <w:right w:val="none" w:sz="0" w:space="0" w:color="auto"/>
      </w:divBdr>
    </w:div>
    <w:div w:id="122622126">
      <w:bodyDiv w:val="1"/>
      <w:marLeft w:val="0"/>
      <w:marRight w:val="0"/>
      <w:marTop w:val="0"/>
      <w:marBottom w:val="0"/>
      <w:divBdr>
        <w:top w:val="none" w:sz="0" w:space="0" w:color="auto"/>
        <w:left w:val="none" w:sz="0" w:space="0" w:color="auto"/>
        <w:bottom w:val="none" w:sz="0" w:space="0" w:color="auto"/>
        <w:right w:val="none" w:sz="0" w:space="0" w:color="auto"/>
      </w:divBdr>
    </w:div>
    <w:div w:id="127286821">
      <w:bodyDiv w:val="1"/>
      <w:marLeft w:val="0"/>
      <w:marRight w:val="0"/>
      <w:marTop w:val="0"/>
      <w:marBottom w:val="0"/>
      <w:divBdr>
        <w:top w:val="none" w:sz="0" w:space="0" w:color="auto"/>
        <w:left w:val="none" w:sz="0" w:space="0" w:color="auto"/>
        <w:bottom w:val="none" w:sz="0" w:space="0" w:color="auto"/>
        <w:right w:val="none" w:sz="0" w:space="0" w:color="auto"/>
      </w:divBdr>
    </w:div>
    <w:div w:id="128674468">
      <w:bodyDiv w:val="1"/>
      <w:marLeft w:val="0"/>
      <w:marRight w:val="0"/>
      <w:marTop w:val="0"/>
      <w:marBottom w:val="0"/>
      <w:divBdr>
        <w:top w:val="none" w:sz="0" w:space="0" w:color="auto"/>
        <w:left w:val="none" w:sz="0" w:space="0" w:color="auto"/>
        <w:bottom w:val="none" w:sz="0" w:space="0" w:color="auto"/>
        <w:right w:val="none" w:sz="0" w:space="0" w:color="auto"/>
      </w:divBdr>
    </w:div>
    <w:div w:id="133835957">
      <w:bodyDiv w:val="1"/>
      <w:marLeft w:val="0"/>
      <w:marRight w:val="0"/>
      <w:marTop w:val="0"/>
      <w:marBottom w:val="0"/>
      <w:divBdr>
        <w:top w:val="none" w:sz="0" w:space="0" w:color="auto"/>
        <w:left w:val="none" w:sz="0" w:space="0" w:color="auto"/>
        <w:bottom w:val="none" w:sz="0" w:space="0" w:color="auto"/>
        <w:right w:val="none" w:sz="0" w:space="0" w:color="auto"/>
      </w:divBdr>
    </w:div>
    <w:div w:id="136849956">
      <w:bodyDiv w:val="1"/>
      <w:marLeft w:val="0"/>
      <w:marRight w:val="0"/>
      <w:marTop w:val="0"/>
      <w:marBottom w:val="0"/>
      <w:divBdr>
        <w:top w:val="none" w:sz="0" w:space="0" w:color="auto"/>
        <w:left w:val="none" w:sz="0" w:space="0" w:color="auto"/>
        <w:bottom w:val="none" w:sz="0" w:space="0" w:color="auto"/>
        <w:right w:val="none" w:sz="0" w:space="0" w:color="auto"/>
      </w:divBdr>
    </w:div>
    <w:div w:id="139352024">
      <w:bodyDiv w:val="1"/>
      <w:marLeft w:val="0"/>
      <w:marRight w:val="0"/>
      <w:marTop w:val="0"/>
      <w:marBottom w:val="0"/>
      <w:divBdr>
        <w:top w:val="none" w:sz="0" w:space="0" w:color="auto"/>
        <w:left w:val="none" w:sz="0" w:space="0" w:color="auto"/>
        <w:bottom w:val="none" w:sz="0" w:space="0" w:color="auto"/>
        <w:right w:val="none" w:sz="0" w:space="0" w:color="auto"/>
      </w:divBdr>
    </w:div>
    <w:div w:id="148668007">
      <w:bodyDiv w:val="1"/>
      <w:marLeft w:val="0"/>
      <w:marRight w:val="0"/>
      <w:marTop w:val="0"/>
      <w:marBottom w:val="0"/>
      <w:divBdr>
        <w:top w:val="none" w:sz="0" w:space="0" w:color="auto"/>
        <w:left w:val="none" w:sz="0" w:space="0" w:color="auto"/>
        <w:bottom w:val="none" w:sz="0" w:space="0" w:color="auto"/>
        <w:right w:val="none" w:sz="0" w:space="0" w:color="auto"/>
      </w:divBdr>
    </w:div>
    <w:div w:id="158275692">
      <w:bodyDiv w:val="1"/>
      <w:marLeft w:val="0"/>
      <w:marRight w:val="0"/>
      <w:marTop w:val="0"/>
      <w:marBottom w:val="0"/>
      <w:divBdr>
        <w:top w:val="none" w:sz="0" w:space="0" w:color="auto"/>
        <w:left w:val="none" w:sz="0" w:space="0" w:color="auto"/>
        <w:bottom w:val="none" w:sz="0" w:space="0" w:color="auto"/>
        <w:right w:val="none" w:sz="0" w:space="0" w:color="auto"/>
      </w:divBdr>
    </w:div>
    <w:div w:id="161088134">
      <w:bodyDiv w:val="1"/>
      <w:marLeft w:val="0"/>
      <w:marRight w:val="0"/>
      <w:marTop w:val="0"/>
      <w:marBottom w:val="0"/>
      <w:divBdr>
        <w:top w:val="none" w:sz="0" w:space="0" w:color="auto"/>
        <w:left w:val="none" w:sz="0" w:space="0" w:color="auto"/>
        <w:bottom w:val="none" w:sz="0" w:space="0" w:color="auto"/>
        <w:right w:val="none" w:sz="0" w:space="0" w:color="auto"/>
      </w:divBdr>
    </w:div>
    <w:div w:id="165285563">
      <w:bodyDiv w:val="1"/>
      <w:marLeft w:val="0"/>
      <w:marRight w:val="0"/>
      <w:marTop w:val="0"/>
      <w:marBottom w:val="0"/>
      <w:divBdr>
        <w:top w:val="none" w:sz="0" w:space="0" w:color="auto"/>
        <w:left w:val="none" w:sz="0" w:space="0" w:color="auto"/>
        <w:bottom w:val="none" w:sz="0" w:space="0" w:color="auto"/>
        <w:right w:val="none" w:sz="0" w:space="0" w:color="auto"/>
      </w:divBdr>
    </w:div>
    <w:div w:id="168838789">
      <w:bodyDiv w:val="1"/>
      <w:marLeft w:val="0"/>
      <w:marRight w:val="0"/>
      <w:marTop w:val="0"/>
      <w:marBottom w:val="0"/>
      <w:divBdr>
        <w:top w:val="none" w:sz="0" w:space="0" w:color="auto"/>
        <w:left w:val="none" w:sz="0" w:space="0" w:color="auto"/>
        <w:bottom w:val="none" w:sz="0" w:space="0" w:color="auto"/>
        <w:right w:val="none" w:sz="0" w:space="0" w:color="auto"/>
      </w:divBdr>
    </w:div>
    <w:div w:id="173149064">
      <w:bodyDiv w:val="1"/>
      <w:marLeft w:val="0"/>
      <w:marRight w:val="0"/>
      <w:marTop w:val="0"/>
      <w:marBottom w:val="0"/>
      <w:divBdr>
        <w:top w:val="none" w:sz="0" w:space="0" w:color="auto"/>
        <w:left w:val="none" w:sz="0" w:space="0" w:color="auto"/>
        <w:bottom w:val="none" w:sz="0" w:space="0" w:color="auto"/>
        <w:right w:val="none" w:sz="0" w:space="0" w:color="auto"/>
      </w:divBdr>
    </w:div>
    <w:div w:id="183906423">
      <w:bodyDiv w:val="1"/>
      <w:marLeft w:val="0"/>
      <w:marRight w:val="0"/>
      <w:marTop w:val="0"/>
      <w:marBottom w:val="0"/>
      <w:divBdr>
        <w:top w:val="none" w:sz="0" w:space="0" w:color="auto"/>
        <w:left w:val="none" w:sz="0" w:space="0" w:color="auto"/>
        <w:bottom w:val="none" w:sz="0" w:space="0" w:color="auto"/>
        <w:right w:val="none" w:sz="0" w:space="0" w:color="auto"/>
      </w:divBdr>
    </w:div>
    <w:div w:id="184903296">
      <w:bodyDiv w:val="1"/>
      <w:marLeft w:val="0"/>
      <w:marRight w:val="0"/>
      <w:marTop w:val="0"/>
      <w:marBottom w:val="0"/>
      <w:divBdr>
        <w:top w:val="none" w:sz="0" w:space="0" w:color="auto"/>
        <w:left w:val="none" w:sz="0" w:space="0" w:color="auto"/>
        <w:bottom w:val="none" w:sz="0" w:space="0" w:color="auto"/>
        <w:right w:val="none" w:sz="0" w:space="0" w:color="auto"/>
      </w:divBdr>
    </w:div>
    <w:div w:id="186912837">
      <w:bodyDiv w:val="1"/>
      <w:marLeft w:val="0"/>
      <w:marRight w:val="0"/>
      <w:marTop w:val="0"/>
      <w:marBottom w:val="0"/>
      <w:divBdr>
        <w:top w:val="none" w:sz="0" w:space="0" w:color="auto"/>
        <w:left w:val="none" w:sz="0" w:space="0" w:color="auto"/>
        <w:bottom w:val="none" w:sz="0" w:space="0" w:color="auto"/>
        <w:right w:val="none" w:sz="0" w:space="0" w:color="auto"/>
      </w:divBdr>
    </w:div>
    <w:div w:id="188566274">
      <w:bodyDiv w:val="1"/>
      <w:marLeft w:val="0"/>
      <w:marRight w:val="0"/>
      <w:marTop w:val="0"/>
      <w:marBottom w:val="0"/>
      <w:divBdr>
        <w:top w:val="none" w:sz="0" w:space="0" w:color="auto"/>
        <w:left w:val="none" w:sz="0" w:space="0" w:color="auto"/>
        <w:bottom w:val="none" w:sz="0" w:space="0" w:color="auto"/>
        <w:right w:val="none" w:sz="0" w:space="0" w:color="auto"/>
      </w:divBdr>
    </w:div>
    <w:div w:id="192113682">
      <w:bodyDiv w:val="1"/>
      <w:marLeft w:val="0"/>
      <w:marRight w:val="0"/>
      <w:marTop w:val="0"/>
      <w:marBottom w:val="0"/>
      <w:divBdr>
        <w:top w:val="none" w:sz="0" w:space="0" w:color="auto"/>
        <w:left w:val="none" w:sz="0" w:space="0" w:color="auto"/>
        <w:bottom w:val="none" w:sz="0" w:space="0" w:color="auto"/>
        <w:right w:val="none" w:sz="0" w:space="0" w:color="auto"/>
      </w:divBdr>
    </w:div>
    <w:div w:id="195848681">
      <w:bodyDiv w:val="1"/>
      <w:marLeft w:val="0"/>
      <w:marRight w:val="0"/>
      <w:marTop w:val="0"/>
      <w:marBottom w:val="0"/>
      <w:divBdr>
        <w:top w:val="none" w:sz="0" w:space="0" w:color="auto"/>
        <w:left w:val="none" w:sz="0" w:space="0" w:color="auto"/>
        <w:bottom w:val="none" w:sz="0" w:space="0" w:color="auto"/>
        <w:right w:val="none" w:sz="0" w:space="0" w:color="auto"/>
      </w:divBdr>
    </w:div>
    <w:div w:id="196355785">
      <w:bodyDiv w:val="1"/>
      <w:marLeft w:val="0"/>
      <w:marRight w:val="0"/>
      <w:marTop w:val="0"/>
      <w:marBottom w:val="0"/>
      <w:divBdr>
        <w:top w:val="none" w:sz="0" w:space="0" w:color="auto"/>
        <w:left w:val="none" w:sz="0" w:space="0" w:color="auto"/>
        <w:bottom w:val="none" w:sz="0" w:space="0" w:color="auto"/>
        <w:right w:val="none" w:sz="0" w:space="0" w:color="auto"/>
      </w:divBdr>
    </w:div>
    <w:div w:id="205794235">
      <w:bodyDiv w:val="1"/>
      <w:marLeft w:val="0"/>
      <w:marRight w:val="0"/>
      <w:marTop w:val="0"/>
      <w:marBottom w:val="0"/>
      <w:divBdr>
        <w:top w:val="none" w:sz="0" w:space="0" w:color="auto"/>
        <w:left w:val="none" w:sz="0" w:space="0" w:color="auto"/>
        <w:bottom w:val="none" w:sz="0" w:space="0" w:color="auto"/>
        <w:right w:val="none" w:sz="0" w:space="0" w:color="auto"/>
      </w:divBdr>
    </w:div>
    <w:div w:id="210895243">
      <w:bodyDiv w:val="1"/>
      <w:marLeft w:val="0"/>
      <w:marRight w:val="0"/>
      <w:marTop w:val="0"/>
      <w:marBottom w:val="0"/>
      <w:divBdr>
        <w:top w:val="none" w:sz="0" w:space="0" w:color="auto"/>
        <w:left w:val="none" w:sz="0" w:space="0" w:color="auto"/>
        <w:bottom w:val="none" w:sz="0" w:space="0" w:color="auto"/>
        <w:right w:val="none" w:sz="0" w:space="0" w:color="auto"/>
      </w:divBdr>
    </w:div>
    <w:div w:id="220749616">
      <w:bodyDiv w:val="1"/>
      <w:marLeft w:val="0"/>
      <w:marRight w:val="0"/>
      <w:marTop w:val="0"/>
      <w:marBottom w:val="0"/>
      <w:divBdr>
        <w:top w:val="none" w:sz="0" w:space="0" w:color="auto"/>
        <w:left w:val="none" w:sz="0" w:space="0" w:color="auto"/>
        <w:bottom w:val="none" w:sz="0" w:space="0" w:color="auto"/>
        <w:right w:val="none" w:sz="0" w:space="0" w:color="auto"/>
      </w:divBdr>
    </w:div>
    <w:div w:id="223028078">
      <w:bodyDiv w:val="1"/>
      <w:marLeft w:val="0"/>
      <w:marRight w:val="0"/>
      <w:marTop w:val="0"/>
      <w:marBottom w:val="0"/>
      <w:divBdr>
        <w:top w:val="none" w:sz="0" w:space="0" w:color="auto"/>
        <w:left w:val="none" w:sz="0" w:space="0" w:color="auto"/>
        <w:bottom w:val="none" w:sz="0" w:space="0" w:color="auto"/>
        <w:right w:val="none" w:sz="0" w:space="0" w:color="auto"/>
      </w:divBdr>
    </w:div>
    <w:div w:id="224071792">
      <w:bodyDiv w:val="1"/>
      <w:marLeft w:val="0"/>
      <w:marRight w:val="0"/>
      <w:marTop w:val="0"/>
      <w:marBottom w:val="0"/>
      <w:divBdr>
        <w:top w:val="none" w:sz="0" w:space="0" w:color="auto"/>
        <w:left w:val="none" w:sz="0" w:space="0" w:color="auto"/>
        <w:bottom w:val="none" w:sz="0" w:space="0" w:color="auto"/>
        <w:right w:val="none" w:sz="0" w:space="0" w:color="auto"/>
      </w:divBdr>
    </w:div>
    <w:div w:id="232593026">
      <w:bodyDiv w:val="1"/>
      <w:marLeft w:val="0"/>
      <w:marRight w:val="0"/>
      <w:marTop w:val="0"/>
      <w:marBottom w:val="0"/>
      <w:divBdr>
        <w:top w:val="none" w:sz="0" w:space="0" w:color="auto"/>
        <w:left w:val="none" w:sz="0" w:space="0" w:color="auto"/>
        <w:bottom w:val="none" w:sz="0" w:space="0" w:color="auto"/>
        <w:right w:val="none" w:sz="0" w:space="0" w:color="auto"/>
      </w:divBdr>
    </w:div>
    <w:div w:id="232593151">
      <w:bodyDiv w:val="1"/>
      <w:marLeft w:val="0"/>
      <w:marRight w:val="0"/>
      <w:marTop w:val="0"/>
      <w:marBottom w:val="0"/>
      <w:divBdr>
        <w:top w:val="none" w:sz="0" w:space="0" w:color="auto"/>
        <w:left w:val="none" w:sz="0" w:space="0" w:color="auto"/>
        <w:bottom w:val="none" w:sz="0" w:space="0" w:color="auto"/>
        <w:right w:val="none" w:sz="0" w:space="0" w:color="auto"/>
      </w:divBdr>
    </w:div>
    <w:div w:id="238103669">
      <w:bodyDiv w:val="1"/>
      <w:marLeft w:val="0"/>
      <w:marRight w:val="0"/>
      <w:marTop w:val="0"/>
      <w:marBottom w:val="0"/>
      <w:divBdr>
        <w:top w:val="none" w:sz="0" w:space="0" w:color="auto"/>
        <w:left w:val="none" w:sz="0" w:space="0" w:color="auto"/>
        <w:bottom w:val="none" w:sz="0" w:space="0" w:color="auto"/>
        <w:right w:val="none" w:sz="0" w:space="0" w:color="auto"/>
      </w:divBdr>
    </w:div>
    <w:div w:id="238635581">
      <w:bodyDiv w:val="1"/>
      <w:marLeft w:val="0"/>
      <w:marRight w:val="0"/>
      <w:marTop w:val="0"/>
      <w:marBottom w:val="0"/>
      <w:divBdr>
        <w:top w:val="none" w:sz="0" w:space="0" w:color="auto"/>
        <w:left w:val="none" w:sz="0" w:space="0" w:color="auto"/>
        <w:bottom w:val="none" w:sz="0" w:space="0" w:color="auto"/>
        <w:right w:val="none" w:sz="0" w:space="0" w:color="auto"/>
      </w:divBdr>
    </w:div>
    <w:div w:id="241794258">
      <w:bodyDiv w:val="1"/>
      <w:marLeft w:val="0"/>
      <w:marRight w:val="0"/>
      <w:marTop w:val="0"/>
      <w:marBottom w:val="0"/>
      <w:divBdr>
        <w:top w:val="none" w:sz="0" w:space="0" w:color="auto"/>
        <w:left w:val="none" w:sz="0" w:space="0" w:color="auto"/>
        <w:bottom w:val="none" w:sz="0" w:space="0" w:color="auto"/>
        <w:right w:val="none" w:sz="0" w:space="0" w:color="auto"/>
      </w:divBdr>
    </w:div>
    <w:div w:id="250699696">
      <w:bodyDiv w:val="1"/>
      <w:marLeft w:val="0"/>
      <w:marRight w:val="0"/>
      <w:marTop w:val="0"/>
      <w:marBottom w:val="0"/>
      <w:divBdr>
        <w:top w:val="none" w:sz="0" w:space="0" w:color="auto"/>
        <w:left w:val="none" w:sz="0" w:space="0" w:color="auto"/>
        <w:bottom w:val="none" w:sz="0" w:space="0" w:color="auto"/>
        <w:right w:val="none" w:sz="0" w:space="0" w:color="auto"/>
      </w:divBdr>
    </w:div>
    <w:div w:id="257569845">
      <w:bodyDiv w:val="1"/>
      <w:marLeft w:val="0"/>
      <w:marRight w:val="0"/>
      <w:marTop w:val="0"/>
      <w:marBottom w:val="0"/>
      <w:divBdr>
        <w:top w:val="none" w:sz="0" w:space="0" w:color="auto"/>
        <w:left w:val="none" w:sz="0" w:space="0" w:color="auto"/>
        <w:bottom w:val="none" w:sz="0" w:space="0" w:color="auto"/>
        <w:right w:val="none" w:sz="0" w:space="0" w:color="auto"/>
      </w:divBdr>
    </w:div>
    <w:div w:id="261761231">
      <w:bodyDiv w:val="1"/>
      <w:marLeft w:val="0"/>
      <w:marRight w:val="0"/>
      <w:marTop w:val="0"/>
      <w:marBottom w:val="0"/>
      <w:divBdr>
        <w:top w:val="none" w:sz="0" w:space="0" w:color="auto"/>
        <w:left w:val="none" w:sz="0" w:space="0" w:color="auto"/>
        <w:bottom w:val="none" w:sz="0" w:space="0" w:color="auto"/>
        <w:right w:val="none" w:sz="0" w:space="0" w:color="auto"/>
      </w:divBdr>
    </w:div>
    <w:div w:id="268243824">
      <w:bodyDiv w:val="1"/>
      <w:marLeft w:val="0"/>
      <w:marRight w:val="0"/>
      <w:marTop w:val="0"/>
      <w:marBottom w:val="0"/>
      <w:divBdr>
        <w:top w:val="none" w:sz="0" w:space="0" w:color="auto"/>
        <w:left w:val="none" w:sz="0" w:space="0" w:color="auto"/>
        <w:bottom w:val="none" w:sz="0" w:space="0" w:color="auto"/>
        <w:right w:val="none" w:sz="0" w:space="0" w:color="auto"/>
      </w:divBdr>
    </w:div>
    <w:div w:id="271717061">
      <w:bodyDiv w:val="1"/>
      <w:marLeft w:val="0"/>
      <w:marRight w:val="0"/>
      <w:marTop w:val="0"/>
      <w:marBottom w:val="0"/>
      <w:divBdr>
        <w:top w:val="none" w:sz="0" w:space="0" w:color="auto"/>
        <w:left w:val="none" w:sz="0" w:space="0" w:color="auto"/>
        <w:bottom w:val="none" w:sz="0" w:space="0" w:color="auto"/>
        <w:right w:val="none" w:sz="0" w:space="0" w:color="auto"/>
      </w:divBdr>
    </w:div>
    <w:div w:id="273639601">
      <w:bodyDiv w:val="1"/>
      <w:marLeft w:val="0"/>
      <w:marRight w:val="0"/>
      <w:marTop w:val="0"/>
      <w:marBottom w:val="0"/>
      <w:divBdr>
        <w:top w:val="none" w:sz="0" w:space="0" w:color="auto"/>
        <w:left w:val="none" w:sz="0" w:space="0" w:color="auto"/>
        <w:bottom w:val="none" w:sz="0" w:space="0" w:color="auto"/>
        <w:right w:val="none" w:sz="0" w:space="0" w:color="auto"/>
      </w:divBdr>
    </w:div>
    <w:div w:id="276447069">
      <w:bodyDiv w:val="1"/>
      <w:marLeft w:val="0"/>
      <w:marRight w:val="0"/>
      <w:marTop w:val="0"/>
      <w:marBottom w:val="0"/>
      <w:divBdr>
        <w:top w:val="none" w:sz="0" w:space="0" w:color="auto"/>
        <w:left w:val="none" w:sz="0" w:space="0" w:color="auto"/>
        <w:bottom w:val="none" w:sz="0" w:space="0" w:color="auto"/>
        <w:right w:val="none" w:sz="0" w:space="0" w:color="auto"/>
      </w:divBdr>
    </w:div>
    <w:div w:id="284048377">
      <w:bodyDiv w:val="1"/>
      <w:marLeft w:val="0"/>
      <w:marRight w:val="0"/>
      <w:marTop w:val="0"/>
      <w:marBottom w:val="0"/>
      <w:divBdr>
        <w:top w:val="none" w:sz="0" w:space="0" w:color="auto"/>
        <w:left w:val="none" w:sz="0" w:space="0" w:color="auto"/>
        <w:bottom w:val="none" w:sz="0" w:space="0" w:color="auto"/>
        <w:right w:val="none" w:sz="0" w:space="0" w:color="auto"/>
      </w:divBdr>
    </w:div>
    <w:div w:id="287126788">
      <w:bodyDiv w:val="1"/>
      <w:marLeft w:val="0"/>
      <w:marRight w:val="0"/>
      <w:marTop w:val="0"/>
      <w:marBottom w:val="0"/>
      <w:divBdr>
        <w:top w:val="none" w:sz="0" w:space="0" w:color="auto"/>
        <w:left w:val="none" w:sz="0" w:space="0" w:color="auto"/>
        <w:bottom w:val="none" w:sz="0" w:space="0" w:color="auto"/>
        <w:right w:val="none" w:sz="0" w:space="0" w:color="auto"/>
      </w:divBdr>
    </w:div>
    <w:div w:id="301665732">
      <w:bodyDiv w:val="1"/>
      <w:marLeft w:val="0"/>
      <w:marRight w:val="0"/>
      <w:marTop w:val="0"/>
      <w:marBottom w:val="0"/>
      <w:divBdr>
        <w:top w:val="none" w:sz="0" w:space="0" w:color="auto"/>
        <w:left w:val="none" w:sz="0" w:space="0" w:color="auto"/>
        <w:bottom w:val="none" w:sz="0" w:space="0" w:color="auto"/>
        <w:right w:val="none" w:sz="0" w:space="0" w:color="auto"/>
      </w:divBdr>
    </w:div>
    <w:div w:id="305009507">
      <w:bodyDiv w:val="1"/>
      <w:marLeft w:val="0"/>
      <w:marRight w:val="0"/>
      <w:marTop w:val="0"/>
      <w:marBottom w:val="0"/>
      <w:divBdr>
        <w:top w:val="none" w:sz="0" w:space="0" w:color="auto"/>
        <w:left w:val="none" w:sz="0" w:space="0" w:color="auto"/>
        <w:bottom w:val="none" w:sz="0" w:space="0" w:color="auto"/>
        <w:right w:val="none" w:sz="0" w:space="0" w:color="auto"/>
      </w:divBdr>
    </w:div>
    <w:div w:id="305355124">
      <w:bodyDiv w:val="1"/>
      <w:marLeft w:val="0"/>
      <w:marRight w:val="0"/>
      <w:marTop w:val="0"/>
      <w:marBottom w:val="0"/>
      <w:divBdr>
        <w:top w:val="none" w:sz="0" w:space="0" w:color="auto"/>
        <w:left w:val="none" w:sz="0" w:space="0" w:color="auto"/>
        <w:bottom w:val="none" w:sz="0" w:space="0" w:color="auto"/>
        <w:right w:val="none" w:sz="0" w:space="0" w:color="auto"/>
      </w:divBdr>
    </w:div>
    <w:div w:id="306934839">
      <w:bodyDiv w:val="1"/>
      <w:marLeft w:val="0"/>
      <w:marRight w:val="0"/>
      <w:marTop w:val="0"/>
      <w:marBottom w:val="0"/>
      <w:divBdr>
        <w:top w:val="none" w:sz="0" w:space="0" w:color="auto"/>
        <w:left w:val="none" w:sz="0" w:space="0" w:color="auto"/>
        <w:bottom w:val="none" w:sz="0" w:space="0" w:color="auto"/>
        <w:right w:val="none" w:sz="0" w:space="0" w:color="auto"/>
      </w:divBdr>
    </w:div>
    <w:div w:id="307563013">
      <w:bodyDiv w:val="1"/>
      <w:marLeft w:val="0"/>
      <w:marRight w:val="0"/>
      <w:marTop w:val="0"/>
      <w:marBottom w:val="0"/>
      <w:divBdr>
        <w:top w:val="none" w:sz="0" w:space="0" w:color="auto"/>
        <w:left w:val="none" w:sz="0" w:space="0" w:color="auto"/>
        <w:bottom w:val="none" w:sz="0" w:space="0" w:color="auto"/>
        <w:right w:val="none" w:sz="0" w:space="0" w:color="auto"/>
      </w:divBdr>
    </w:div>
    <w:div w:id="307588037">
      <w:bodyDiv w:val="1"/>
      <w:marLeft w:val="0"/>
      <w:marRight w:val="0"/>
      <w:marTop w:val="0"/>
      <w:marBottom w:val="0"/>
      <w:divBdr>
        <w:top w:val="none" w:sz="0" w:space="0" w:color="auto"/>
        <w:left w:val="none" w:sz="0" w:space="0" w:color="auto"/>
        <w:bottom w:val="none" w:sz="0" w:space="0" w:color="auto"/>
        <w:right w:val="none" w:sz="0" w:space="0" w:color="auto"/>
      </w:divBdr>
    </w:div>
    <w:div w:id="316542656">
      <w:bodyDiv w:val="1"/>
      <w:marLeft w:val="0"/>
      <w:marRight w:val="0"/>
      <w:marTop w:val="0"/>
      <w:marBottom w:val="0"/>
      <w:divBdr>
        <w:top w:val="none" w:sz="0" w:space="0" w:color="auto"/>
        <w:left w:val="none" w:sz="0" w:space="0" w:color="auto"/>
        <w:bottom w:val="none" w:sz="0" w:space="0" w:color="auto"/>
        <w:right w:val="none" w:sz="0" w:space="0" w:color="auto"/>
      </w:divBdr>
    </w:div>
    <w:div w:id="325014323">
      <w:bodyDiv w:val="1"/>
      <w:marLeft w:val="0"/>
      <w:marRight w:val="0"/>
      <w:marTop w:val="0"/>
      <w:marBottom w:val="0"/>
      <w:divBdr>
        <w:top w:val="none" w:sz="0" w:space="0" w:color="auto"/>
        <w:left w:val="none" w:sz="0" w:space="0" w:color="auto"/>
        <w:bottom w:val="none" w:sz="0" w:space="0" w:color="auto"/>
        <w:right w:val="none" w:sz="0" w:space="0" w:color="auto"/>
      </w:divBdr>
    </w:div>
    <w:div w:id="332298769">
      <w:bodyDiv w:val="1"/>
      <w:marLeft w:val="0"/>
      <w:marRight w:val="0"/>
      <w:marTop w:val="0"/>
      <w:marBottom w:val="0"/>
      <w:divBdr>
        <w:top w:val="none" w:sz="0" w:space="0" w:color="auto"/>
        <w:left w:val="none" w:sz="0" w:space="0" w:color="auto"/>
        <w:bottom w:val="none" w:sz="0" w:space="0" w:color="auto"/>
        <w:right w:val="none" w:sz="0" w:space="0" w:color="auto"/>
      </w:divBdr>
    </w:div>
    <w:div w:id="334066927">
      <w:bodyDiv w:val="1"/>
      <w:marLeft w:val="0"/>
      <w:marRight w:val="0"/>
      <w:marTop w:val="0"/>
      <w:marBottom w:val="0"/>
      <w:divBdr>
        <w:top w:val="none" w:sz="0" w:space="0" w:color="auto"/>
        <w:left w:val="none" w:sz="0" w:space="0" w:color="auto"/>
        <w:bottom w:val="none" w:sz="0" w:space="0" w:color="auto"/>
        <w:right w:val="none" w:sz="0" w:space="0" w:color="auto"/>
      </w:divBdr>
    </w:div>
    <w:div w:id="334889684">
      <w:bodyDiv w:val="1"/>
      <w:marLeft w:val="0"/>
      <w:marRight w:val="0"/>
      <w:marTop w:val="0"/>
      <w:marBottom w:val="0"/>
      <w:divBdr>
        <w:top w:val="none" w:sz="0" w:space="0" w:color="auto"/>
        <w:left w:val="none" w:sz="0" w:space="0" w:color="auto"/>
        <w:bottom w:val="none" w:sz="0" w:space="0" w:color="auto"/>
        <w:right w:val="none" w:sz="0" w:space="0" w:color="auto"/>
      </w:divBdr>
    </w:div>
    <w:div w:id="340162419">
      <w:bodyDiv w:val="1"/>
      <w:marLeft w:val="0"/>
      <w:marRight w:val="0"/>
      <w:marTop w:val="0"/>
      <w:marBottom w:val="0"/>
      <w:divBdr>
        <w:top w:val="none" w:sz="0" w:space="0" w:color="auto"/>
        <w:left w:val="none" w:sz="0" w:space="0" w:color="auto"/>
        <w:bottom w:val="none" w:sz="0" w:space="0" w:color="auto"/>
        <w:right w:val="none" w:sz="0" w:space="0" w:color="auto"/>
      </w:divBdr>
    </w:div>
    <w:div w:id="341392386">
      <w:bodyDiv w:val="1"/>
      <w:marLeft w:val="0"/>
      <w:marRight w:val="0"/>
      <w:marTop w:val="0"/>
      <w:marBottom w:val="0"/>
      <w:divBdr>
        <w:top w:val="none" w:sz="0" w:space="0" w:color="auto"/>
        <w:left w:val="none" w:sz="0" w:space="0" w:color="auto"/>
        <w:bottom w:val="none" w:sz="0" w:space="0" w:color="auto"/>
        <w:right w:val="none" w:sz="0" w:space="0" w:color="auto"/>
      </w:divBdr>
    </w:div>
    <w:div w:id="356856504">
      <w:bodyDiv w:val="1"/>
      <w:marLeft w:val="0"/>
      <w:marRight w:val="0"/>
      <w:marTop w:val="0"/>
      <w:marBottom w:val="0"/>
      <w:divBdr>
        <w:top w:val="none" w:sz="0" w:space="0" w:color="auto"/>
        <w:left w:val="none" w:sz="0" w:space="0" w:color="auto"/>
        <w:bottom w:val="none" w:sz="0" w:space="0" w:color="auto"/>
        <w:right w:val="none" w:sz="0" w:space="0" w:color="auto"/>
      </w:divBdr>
    </w:div>
    <w:div w:id="359859892">
      <w:bodyDiv w:val="1"/>
      <w:marLeft w:val="0"/>
      <w:marRight w:val="0"/>
      <w:marTop w:val="0"/>
      <w:marBottom w:val="0"/>
      <w:divBdr>
        <w:top w:val="none" w:sz="0" w:space="0" w:color="auto"/>
        <w:left w:val="none" w:sz="0" w:space="0" w:color="auto"/>
        <w:bottom w:val="none" w:sz="0" w:space="0" w:color="auto"/>
        <w:right w:val="none" w:sz="0" w:space="0" w:color="auto"/>
      </w:divBdr>
    </w:div>
    <w:div w:id="363597503">
      <w:bodyDiv w:val="1"/>
      <w:marLeft w:val="0"/>
      <w:marRight w:val="0"/>
      <w:marTop w:val="0"/>
      <w:marBottom w:val="0"/>
      <w:divBdr>
        <w:top w:val="none" w:sz="0" w:space="0" w:color="auto"/>
        <w:left w:val="none" w:sz="0" w:space="0" w:color="auto"/>
        <w:bottom w:val="none" w:sz="0" w:space="0" w:color="auto"/>
        <w:right w:val="none" w:sz="0" w:space="0" w:color="auto"/>
      </w:divBdr>
    </w:div>
    <w:div w:id="373429773">
      <w:bodyDiv w:val="1"/>
      <w:marLeft w:val="0"/>
      <w:marRight w:val="0"/>
      <w:marTop w:val="0"/>
      <w:marBottom w:val="0"/>
      <w:divBdr>
        <w:top w:val="none" w:sz="0" w:space="0" w:color="auto"/>
        <w:left w:val="none" w:sz="0" w:space="0" w:color="auto"/>
        <w:bottom w:val="none" w:sz="0" w:space="0" w:color="auto"/>
        <w:right w:val="none" w:sz="0" w:space="0" w:color="auto"/>
      </w:divBdr>
    </w:div>
    <w:div w:id="373776176">
      <w:bodyDiv w:val="1"/>
      <w:marLeft w:val="0"/>
      <w:marRight w:val="0"/>
      <w:marTop w:val="0"/>
      <w:marBottom w:val="0"/>
      <w:divBdr>
        <w:top w:val="none" w:sz="0" w:space="0" w:color="auto"/>
        <w:left w:val="none" w:sz="0" w:space="0" w:color="auto"/>
        <w:bottom w:val="none" w:sz="0" w:space="0" w:color="auto"/>
        <w:right w:val="none" w:sz="0" w:space="0" w:color="auto"/>
      </w:divBdr>
      <w:divsChild>
        <w:div w:id="2111310129">
          <w:marLeft w:val="0"/>
          <w:marRight w:val="0"/>
          <w:marTop w:val="0"/>
          <w:marBottom w:val="0"/>
          <w:divBdr>
            <w:top w:val="none" w:sz="0" w:space="0" w:color="auto"/>
            <w:left w:val="none" w:sz="0" w:space="0" w:color="auto"/>
            <w:bottom w:val="none" w:sz="0" w:space="0" w:color="auto"/>
            <w:right w:val="none" w:sz="0" w:space="0" w:color="auto"/>
          </w:divBdr>
          <w:divsChild>
            <w:div w:id="2034570018">
              <w:marLeft w:val="0"/>
              <w:marRight w:val="0"/>
              <w:marTop w:val="0"/>
              <w:marBottom w:val="0"/>
              <w:divBdr>
                <w:top w:val="none" w:sz="0" w:space="0" w:color="auto"/>
                <w:left w:val="none" w:sz="0" w:space="0" w:color="auto"/>
                <w:bottom w:val="none" w:sz="0" w:space="0" w:color="auto"/>
                <w:right w:val="none" w:sz="0" w:space="0" w:color="auto"/>
              </w:divBdr>
              <w:divsChild>
                <w:div w:id="15095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144762">
      <w:bodyDiv w:val="1"/>
      <w:marLeft w:val="0"/>
      <w:marRight w:val="0"/>
      <w:marTop w:val="0"/>
      <w:marBottom w:val="0"/>
      <w:divBdr>
        <w:top w:val="none" w:sz="0" w:space="0" w:color="auto"/>
        <w:left w:val="none" w:sz="0" w:space="0" w:color="auto"/>
        <w:bottom w:val="none" w:sz="0" w:space="0" w:color="auto"/>
        <w:right w:val="none" w:sz="0" w:space="0" w:color="auto"/>
      </w:divBdr>
    </w:div>
    <w:div w:id="383718732">
      <w:bodyDiv w:val="1"/>
      <w:marLeft w:val="0"/>
      <w:marRight w:val="0"/>
      <w:marTop w:val="0"/>
      <w:marBottom w:val="0"/>
      <w:divBdr>
        <w:top w:val="none" w:sz="0" w:space="0" w:color="auto"/>
        <w:left w:val="none" w:sz="0" w:space="0" w:color="auto"/>
        <w:bottom w:val="none" w:sz="0" w:space="0" w:color="auto"/>
        <w:right w:val="none" w:sz="0" w:space="0" w:color="auto"/>
      </w:divBdr>
    </w:div>
    <w:div w:id="385759619">
      <w:bodyDiv w:val="1"/>
      <w:marLeft w:val="0"/>
      <w:marRight w:val="0"/>
      <w:marTop w:val="0"/>
      <w:marBottom w:val="0"/>
      <w:divBdr>
        <w:top w:val="none" w:sz="0" w:space="0" w:color="auto"/>
        <w:left w:val="none" w:sz="0" w:space="0" w:color="auto"/>
        <w:bottom w:val="none" w:sz="0" w:space="0" w:color="auto"/>
        <w:right w:val="none" w:sz="0" w:space="0" w:color="auto"/>
      </w:divBdr>
    </w:div>
    <w:div w:id="386881568">
      <w:bodyDiv w:val="1"/>
      <w:marLeft w:val="0"/>
      <w:marRight w:val="0"/>
      <w:marTop w:val="0"/>
      <w:marBottom w:val="0"/>
      <w:divBdr>
        <w:top w:val="none" w:sz="0" w:space="0" w:color="auto"/>
        <w:left w:val="none" w:sz="0" w:space="0" w:color="auto"/>
        <w:bottom w:val="none" w:sz="0" w:space="0" w:color="auto"/>
        <w:right w:val="none" w:sz="0" w:space="0" w:color="auto"/>
      </w:divBdr>
    </w:div>
    <w:div w:id="389691274">
      <w:bodyDiv w:val="1"/>
      <w:marLeft w:val="0"/>
      <w:marRight w:val="0"/>
      <w:marTop w:val="0"/>
      <w:marBottom w:val="0"/>
      <w:divBdr>
        <w:top w:val="none" w:sz="0" w:space="0" w:color="auto"/>
        <w:left w:val="none" w:sz="0" w:space="0" w:color="auto"/>
        <w:bottom w:val="none" w:sz="0" w:space="0" w:color="auto"/>
        <w:right w:val="none" w:sz="0" w:space="0" w:color="auto"/>
      </w:divBdr>
    </w:div>
    <w:div w:id="392192619">
      <w:bodyDiv w:val="1"/>
      <w:marLeft w:val="0"/>
      <w:marRight w:val="0"/>
      <w:marTop w:val="0"/>
      <w:marBottom w:val="0"/>
      <w:divBdr>
        <w:top w:val="none" w:sz="0" w:space="0" w:color="auto"/>
        <w:left w:val="none" w:sz="0" w:space="0" w:color="auto"/>
        <w:bottom w:val="none" w:sz="0" w:space="0" w:color="auto"/>
        <w:right w:val="none" w:sz="0" w:space="0" w:color="auto"/>
      </w:divBdr>
    </w:div>
    <w:div w:id="395317692">
      <w:bodyDiv w:val="1"/>
      <w:marLeft w:val="0"/>
      <w:marRight w:val="0"/>
      <w:marTop w:val="0"/>
      <w:marBottom w:val="0"/>
      <w:divBdr>
        <w:top w:val="none" w:sz="0" w:space="0" w:color="auto"/>
        <w:left w:val="none" w:sz="0" w:space="0" w:color="auto"/>
        <w:bottom w:val="none" w:sz="0" w:space="0" w:color="auto"/>
        <w:right w:val="none" w:sz="0" w:space="0" w:color="auto"/>
      </w:divBdr>
    </w:div>
    <w:div w:id="395392994">
      <w:bodyDiv w:val="1"/>
      <w:marLeft w:val="0"/>
      <w:marRight w:val="0"/>
      <w:marTop w:val="0"/>
      <w:marBottom w:val="0"/>
      <w:divBdr>
        <w:top w:val="none" w:sz="0" w:space="0" w:color="auto"/>
        <w:left w:val="none" w:sz="0" w:space="0" w:color="auto"/>
        <w:bottom w:val="none" w:sz="0" w:space="0" w:color="auto"/>
        <w:right w:val="none" w:sz="0" w:space="0" w:color="auto"/>
      </w:divBdr>
    </w:div>
    <w:div w:id="395474686">
      <w:bodyDiv w:val="1"/>
      <w:marLeft w:val="0"/>
      <w:marRight w:val="0"/>
      <w:marTop w:val="0"/>
      <w:marBottom w:val="0"/>
      <w:divBdr>
        <w:top w:val="none" w:sz="0" w:space="0" w:color="auto"/>
        <w:left w:val="none" w:sz="0" w:space="0" w:color="auto"/>
        <w:bottom w:val="none" w:sz="0" w:space="0" w:color="auto"/>
        <w:right w:val="none" w:sz="0" w:space="0" w:color="auto"/>
      </w:divBdr>
    </w:div>
    <w:div w:id="397940370">
      <w:bodyDiv w:val="1"/>
      <w:marLeft w:val="0"/>
      <w:marRight w:val="0"/>
      <w:marTop w:val="0"/>
      <w:marBottom w:val="0"/>
      <w:divBdr>
        <w:top w:val="none" w:sz="0" w:space="0" w:color="auto"/>
        <w:left w:val="none" w:sz="0" w:space="0" w:color="auto"/>
        <w:bottom w:val="none" w:sz="0" w:space="0" w:color="auto"/>
        <w:right w:val="none" w:sz="0" w:space="0" w:color="auto"/>
      </w:divBdr>
    </w:div>
    <w:div w:id="401762061">
      <w:bodyDiv w:val="1"/>
      <w:marLeft w:val="0"/>
      <w:marRight w:val="0"/>
      <w:marTop w:val="0"/>
      <w:marBottom w:val="0"/>
      <w:divBdr>
        <w:top w:val="none" w:sz="0" w:space="0" w:color="auto"/>
        <w:left w:val="none" w:sz="0" w:space="0" w:color="auto"/>
        <w:bottom w:val="none" w:sz="0" w:space="0" w:color="auto"/>
        <w:right w:val="none" w:sz="0" w:space="0" w:color="auto"/>
      </w:divBdr>
    </w:div>
    <w:div w:id="408424535">
      <w:bodyDiv w:val="1"/>
      <w:marLeft w:val="0"/>
      <w:marRight w:val="0"/>
      <w:marTop w:val="0"/>
      <w:marBottom w:val="0"/>
      <w:divBdr>
        <w:top w:val="none" w:sz="0" w:space="0" w:color="auto"/>
        <w:left w:val="none" w:sz="0" w:space="0" w:color="auto"/>
        <w:bottom w:val="none" w:sz="0" w:space="0" w:color="auto"/>
        <w:right w:val="none" w:sz="0" w:space="0" w:color="auto"/>
      </w:divBdr>
    </w:div>
    <w:div w:id="410928822">
      <w:bodyDiv w:val="1"/>
      <w:marLeft w:val="0"/>
      <w:marRight w:val="0"/>
      <w:marTop w:val="0"/>
      <w:marBottom w:val="0"/>
      <w:divBdr>
        <w:top w:val="none" w:sz="0" w:space="0" w:color="auto"/>
        <w:left w:val="none" w:sz="0" w:space="0" w:color="auto"/>
        <w:bottom w:val="none" w:sz="0" w:space="0" w:color="auto"/>
        <w:right w:val="none" w:sz="0" w:space="0" w:color="auto"/>
      </w:divBdr>
    </w:div>
    <w:div w:id="417602494">
      <w:bodyDiv w:val="1"/>
      <w:marLeft w:val="0"/>
      <w:marRight w:val="0"/>
      <w:marTop w:val="0"/>
      <w:marBottom w:val="0"/>
      <w:divBdr>
        <w:top w:val="none" w:sz="0" w:space="0" w:color="auto"/>
        <w:left w:val="none" w:sz="0" w:space="0" w:color="auto"/>
        <w:bottom w:val="none" w:sz="0" w:space="0" w:color="auto"/>
        <w:right w:val="none" w:sz="0" w:space="0" w:color="auto"/>
      </w:divBdr>
      <w:divsChild>
        <w:div w:id="462426644">
          <w:marLeft w:val="0"/>
          <w:marRight w:val="0"/>
          <w:marTop w:val="0"/>
          <w:marBottom w:val="0"/>
          <w:divBdr>
            <w:top w:val="none" w:sz="0" w:space="0" w:color="auto"/>
            <w:left w:val="none" w:sz="0" w:space="0" w:color="auto"/>
            <w:bottom w:val="none" w:sz="0" w:space="0" w:color="auto"/>
            <w:right w:val="none" w:sz="0" w:space="0" w:color="auto"/>
          </w:divBdr>
          <w:divsChild>
            <w:div w:id="1762990863">
              <w:marLeft w:val="0"/>
              <w:marRight w:val="0"/>
              <w:marTop w:val="0"/>
              <w:marBottom w:val="0"/>
              <w:divBdr>
                <w:top w:val="none" w:sz="0" w:space="0" w:color="auto"/>
                <w:left w:val="none" w:sz="0" w:space="0" w:color="auto"/>
                <w:bottom w:val="none" w:sz="0" w:space="0" w:color="auto"/>
                <w:right w:val="none" w:sz="0" w:space="0" w:color="auto"/>
              </w:divBdr>
              <w:divsChild>
                <w:div w:id="104949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535526">
      <w:bodyDiv w:val="1"/>
      <w:marLeft w:val="0"/>
      <w:marRight w:val="0"/>
      <w:marTop w:val="0"/>
      <w:marBottom w:val="0"/>
      <w:divBdr>
        <w:top w:val="none" w:sz="0" w:space="0" w:color="auto"/>
        <w:left w:val="none" w:sz="0" w:space="0" w:color="auto"/>
        <w:bottom w:val="none" w:sz="0" w:space="0" w:color="auto"/>
        <w:right w:val="none" w:sz="0" w:space="0" w:color="auto"/>
      </w:divBdr>
    </w:div>
    <w:div w:id="427509089">
      <w:bodyDiv w:val="1"/>
      <w:marLeft w:val="0"/>
      <w:marRight w:val="0"/>
      <w:marTop w:val="0"/>
      <w:marBottom w:val="0"/>
      <w:divBdr>
        <w:top w:val="none" w:sz="0" w:space="0" w:color="auto"/>
        <w:left w:val="none" w:sz="0" w:space="0" w:color="auto"/>
        <w:bottom w:val="none" w:sz="0" w:space="0" w:color="auto"/>
        <w:right w:val="none" w:sz="0" w:space="0" w:color="auto"/>
      </w:divBdr>
    </w:div>
    <w:div w:id="429863300">
      <w:bodyDiv w:val="1"/>
      <w:marLeft w:val="0"/>
      <w:marRight w:val="0"/>
      <w:marTop w:val="0"/>
      <w:marBottom w:val="0"/>
      <w:divBdr>
        <w:top w:val="none" w:sz="0" w:space="0" w:color="auto"/>
        <w:left w:val="none" w:sz="0" w:space="0" w:color="auto"/>
        <w:bottom w:val="none" w:sz="0" w:space="0" w:color="auto"/>
        <w:right w:val="none" w:sz="0" w:space="0" w:color="auto"/>
      </w:divBdr>
    </w:div>
    <w:div w:id="434251852">
      <w:bodyDiv w:val="1"/>
      <w:marLeft w:val="0"/>
      <w:marRight w:val="0"/>
      <w:marTop w:val="0"/>
      <w:marBottom w:val="0"/>
      <w:divBdr>
        <w:top w:val="none" w:sz="0" w:space="0" w:color="auto"/>
        <w:left w:val="none" w:sz="0" w:space="0" w:color="auto"/>
        <w:bottom w:val="none" w:sz="0" w:space="0" w:color="auto"/>
        <w:right w:val="none" w:sz="0" w:space="0" w:color="auto"/>
      </w:divBdr>
    </w:div>
    <w:div w:id="434253266">
      <w:bodyDiv w:val="1"/>
      <w:marLeft w:val="0"/>
      <w:marRight w:val="0"/>
      <w:marTop w:val="0"/>
      <w:marBottom w:val="0"/>
      <w:divBdr>
        <w:top w:val="none" w:sz="0" w:space="0" w:color="auto"/>
        <w:left w:val="none" w:sz="0" w:space="0" w:color="auto"/>
        <w:bottom w:val="none" w:sz="0" w:space="0" w:color="auto"/>
        <w:right w:val="none" w:sz="0" w:space="0" w:color="auto"/>
      </w:divBdr>
    </w:div>
    <w:div w:id="439616896">
      <w:bodyDiv w:val="1"/>
      <w:marLeft w:val="0"/>
      <w:marRight w:val="0"/>
      <w:marTop w:val="0"/>
      <w:marBottom w:val="0"/>
      <w:divBdr>
        <w:top w:val="none" w:sz="0" w:space="0" w:color="auto"/>
        <w:left w:val="none" w:sz="0" w:space="0" w:color="auto"/>
        <w:bottom w:val="none" w:sz="0" w:space="0" w:color="auto"/>
        <w:right w:val="none" w:sz="0" w:space="0" w:color="auto"/>
      </w:divBdr>
    </w:div>
    <w:div w:id="442113017">
      <w:bodyDiv w:val="1"/>
      <w:marLeft w:val="0"/>
      <w:marRight w:val="0"/>
      <w:marTop w:val="0"/>
      <w:marBottom w:val="0"/>
      <w:divBdr>
        <w:top w:val="none" w:sz="0" w:space="0" w:color="auto"/>
        <w:left w:val="none" w:sz="0" w:space="0" w:color="auto"/>
        <w:bottom w:val="none" w:sz="0" w:space="0" w:color="auto"/>
        <w:right w:val="none" w:sz="0" w:space="0" w:color="auto"/>
      </w:divBdr>
    </w:div>
    <w:div w:id="443812337">
      <w:bodyDiv w:val="1"/>
      <w:marLeft w:val="0"/>
      <w:marRight w:val="0"/>
      <w:marTop w:val="0"/>
      <w:marBottom w:val="0"/>
      <w:divBdr>
        <w:top w:val="none" w:sz="0" w:space="0" w:color="auto"/>
        <w:left w:val="none" w:sz="0" w:space="0" w:color="auto"/>
        <w:bottom w:val="none" w:sz="0" w:space="0" w:color="auto"/>
        <w:right w:val="none" w:sz="0" w:space="0" w:color="auto"/>
      </w:divBdr>
    </w:div>
    <w:div w:id="451097780">
      <w:bodyDiv w:val="1"/>
      <w:marLeft w:val="0"/>
      <w:marRight w:val="0"/>
      <w:marTop w:val="0"/>
      <w:marBottom w:val="0"/>
      <w:divBdr>
        <w:top w:val="none" w:sz="0" w:space="0" w:color="auto"/>
        <w:left w:val="none" w:sz="0" w:space="0" w:color="auto"/>
        <w:bottom w:val="none" w:sz="0" w:space="0" w:color="auto"/>
        <w:right w:val="none" w:sz="0" w:space="0" w:color="auto"/>
      </w:divBdr>
      <w:divsChild>
        <w:div w:id="1619874138">
          <w:marLeft w:val="0"/>
          <w:marRight w:val="0"/>
          <w:marTop w:val="0"/>
          <w:marBottom w:val="0"/>
          <w:divBdr>
            <w:top w:val="none" w:sz="0" w:space="0" w:color="auto"/>
            <w:left w:val="none" w:sz="0" w:space="0" w:color="auto"/>
            <w:bottom w:val="none" w:sz="0" w:space="0" w:color="auto"/>
            <w:right w:val="none" w:sz="0" w:space="0" w:color="auto"/>
          </w:divBdr>
          <w:divsChild>
            <w:div w:id="1051539516">
              <w:marLeft w:val="0"/>
              <w:marRight w:val="0"/>
              <w:marTop w:val="0"/>
              <w:marBottom w:val="0"/>
              <w:divBdr>
                <w:top w:val="none" w:sz="0" w:space="0" w:color="auto"/>
                <w:left w:val="none" w:sz="0" w:space="0" w:color="auto"/>
                <w:bottom w:val="none" w:sz="0" w:space="0" w:color="auto"/>
                <w:right w:val="none" w:sz="0" w:space="0" w:color="auto"/>
              </w:divBdr>
              <w:divsChild>
                <w:div w:id="1567106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232201">
      <w:bodyDiv w:val="1"/>
      <w:marLeft w:val="0"/>
      <w:marRight w:val="0"/>
      <w:marTop w:val="0"/>
      <w:marBottom w:val="0"/>
      <w:divBdr>
        <w:top w:val="none" w:sz="0" w:space="0" w:color="auto"/>
        <w:left w:val="none" w:sz="0" w:space="0" w:color="auto"/>
        <w:bottom w:val="none" w:sz="0" w:space="0" w:color="auto"/>
        <w:right w:val="none" w:sz="0" w:space="0" w:color="auto"/>
      </w:divBdr>
    </w:div>
    <w:div w:id="472865557">
      <w:bodyDiv w:val="1"/>
      <w:marLeft w:val="0"/>
      <w:marRight w:val="0"/>
      <w:marTop w:val="0"/>
      <w:marBottom w:val="0"/>
      <w:divBdr>
        <w:top w:val="none" w:sz="0" w:space="0" w:color="auto"/>
        <w:left w:val="none" w:sz="0" w:space="0" w:color="auto"/>
        <w:bottom w:val="none" w:sz="0" w:space="0" w:color="auto"/>
        <w:right w:val="none" w:sz="0" w:space="0" w:color="auto"/>
      </w:divBdr>
    </w:div>
    <w:div w:id="476806800">
      <w:bodyDiv w:val="1"/>
      <w:marLeft w:val="0"/>
      <w:marRight w:val="0"/>
      <w:marTop w:val="0"/>
      <w:marBottom w:val="0"/>
      <w:divBdr>
        <w:top w:val="none" w:sz="0" w:space="0" w:color="auto"/>
        <w:left w:val="none" w:sz="0" w:space="0" w:color="auto"/>
        <w:bottom w:val="none" w:sz="0" w:space="0" w:color="auto"/>
        <w:right w:val="none" w:sz="0" w:space="0" w:color="auto"/>
      </w:divBdr>
    </w:div>
    <w:div w:id="478112038">
      <w:bodyDiv w:val="1"/>
      <w:marLeft w:val="0"/>
      <w:marRight w:val="0"/>
      <w:marTop w:val="0"/>
      <w:marBottom w:val="0"/>
      <w:divBdr>
        <w:top w:val="none" w:sz="0" w:space="0" w:color="auto"/>
        <w:left w:val="none" w:sz="0" w:space="0" w:color="auto"/>
        <w:bottom w:val="none" w:sz="0" w:space="0" w:color="auto"/>
        <w:right w:val="none" w:sz="0" w:space="0" w:color="auto"/>
      </w:divBdr>
    </w:div>
    <w:div w:id="486480253">
      <w:bodyDiv w:val="1"/>
      <w:marLeft w:val="0"/>
      <w:marRight w:val="0"/>
      <w:marTop w:val="0"/>
      <w:marBottom w:val="0"/>
      <w:divBdr>
        <w:top w:val="none" w:sz="0" w:space="0" w:color="auto"/>
        <w:left w:val="none" w:sz="0" w:space="0" w:color="auto"/>
        <w:bottom w:val="none" w:sz="0" w:space="0" w:color="auto"/>
        <w:right w:val="none" w:sz="0" w:space="0" w:color="auto"/>
      </w:divBdr>
    </w:div>
    <w:div w:id="488639465">
      <w:bodyDiv w:val="1"/>
      <w:marLeft w:val="0"/>
      <w:marRight w:val="0"/>
      <w:marTop w:val="0"/>
      <w:marBottom w:val="0"/>
      <w:divBdr>
        <w:top w:val="none" w:sz="0" w:space="0" w:color="auto"/>
        <w:left w:val="none" w:sz="0" w:space="0" w:color="auto"/>
        <w:bottom w:val="none" w:sz="0" w:space="0" w:color="auto"/>
        <w:right w:val="none" w:sz="0" w:space="0" w:color="auto"/>
      </w:divBdr>
    </w:div>
    <w:div w:id="495727155">
      <w:bodyDiv w:val="1"/>
      <w:marLeft w:val="0"/>
      <w:marRight w:val="0"/>
      <w:marTop w:val="0"/>
      <w:marBottom w:val="0"/>
      <w:divBdr>
        <w:top w:val="none" w:sz="0" w:space="0" w:color="auto"/>
        <w:left w:val="none" w:sz="0" w:space="0" w:color="auto"/>
        <w:bottom w:val="none" w:sz="0" w:space="0" w:color="auto"/>
        <w:right w:val="none" w:sz="0" w:space="0" w:color="auto"/>
      </w:divBdr>
    </w:div>
    <w:div w:id="497159965">
      <w:bodyDiv w:val="1"/>
      <w:marLeft w:val="0"/>
      <w:marRight w:val="0"/>
      <w:marTop w:val="0"/>
      <w:marBottom w:val="0"/>
      <w:divBdr>
        <w:top w:val="none" w:sz="0" w:space="0" w:color="auto"/>
        <w:left w:val="none" w:sz="0" w:space="0" w:color="auto"/>
        <w:bottom w:val="none" w:sz="0" w:space="0" w:color="auto"/>
        <w:right w:val="none" w:sz="0" w:space="0" w:color="auto"/>
      </w:divBdr>
    </w:div>
    <w:div w:id="499128157">
      <w:bodyDiv w:val="1"/>
      <w:marLeft w:val="0"/>
      <w:marRight w:val="0"/>
      <w:marTop w:val="0"/>
      <w:marBottom w:val="0"/>
      <w:divBdr>
        <w:top w:val="none" w:sz="0" w:space="0" w:color="auto"/>
        <w:left w:val="none" w:sz="0" w:space="0" w:color="auto"/>
        <w:bottom w:val="none" w:sz="0" w:space="0" w:color="auto"/>
        <w:right w:val="none" w:sz="0" w:space="0" w:color="auto"/>
      </w:divBdr>
    </w:div>
    <w:div w:id="506754888">
      <w:bodyDiv w:val="1"/>
      <w:marLeft w:val="0"/>
      <w:marRight w:val="0"/>
      <w:marTop w:val="0"/>
      <w:marBottom w:val="0"/>
      <w:divBdr>
        <w:top w:val="none" w:sz="0" w:space="0" w:color="auto"/>
        <w:left w:val="none" w:sz="0" w:space="0" w:color="auto"/>
        <w:bottom w:val="none" w:sz="0" w:space="0" w:color="auto"/>
        <w:right w:val="none" w:sz="0" w:space="0" w:color="auto"/>
      </w:divBdr>
    </w:div>
    <w:div w:id="512842765">
      <w:bodyDiv w:val="1"/>
      <w:marLeft w:val="0"/>
      <w:marRight w:val="0"/>
      <w:marTop w:val="0"/>
      <w:marBottom w:val="0"/>
      <w:divBdr>
        <w:top w:val="none" w:sz="0" w:space="0" w:color="auto"/>
        <w:left w:val="none" w:sz="0" w:space="0" w:color="auto"/>
        <w:bottom w:val="none" w:sz="0" w:space="0" w:color="auto"/>
        <w:right w:val="none" w:sz="0" w:space="0" w:color="auto"/>
      </w:divBdr>
    </w:div>
    <w:div w:id="527258360">
      <w:bodyDiv w:val="1"/>
      <w:marLeft w:val="0"/>
      <w:marRight w:val="0"/>
      <w:marTop w:val="0"/>
      <w:marBottom w:val="0"/>
      <w:divBdr>
        <w:top w:val="none" w:sz="0" w:space="0" w:color="auto"/>
        <w:left w:val="none" w:sz="0" w:space="0" w:color="auto"/>
        <w:bottom w:val="none" w:sz="0" w:space="0" w:color="auto"/>
        <w:right w:val="none" w:sz="0" w:space="0" w:color="auto"/>
      </w:divBdr>
    </w:div>
    <w:div w:id="527838124">
      <w:bodyDiv w:val="1"/>
      <w:marLeft w:val="0"/>
      <w:marRight w:val="0"/>
      <w:marTop w:val="0"/>
      <w:marBottom w:val="0"/>
      <w:divBdr>
        <w:top w:val="none" w:sz="0" w:space="0" w:color="auto"/>
        <w:left w:val="none" w:sz="0" w:space="0" w:color="auto"/>
        <w:bottom w:val="none" w:sz="0" w:space="0" w:color="auto"/>
        <w:right w:val="none" w:sz="0" w:space="0" w:color="auto"/>
      </w:divBdr>
    </w:div>
    <w:div w:id="532352676">
      <w:bodyDiv w:val="1"/>
      <w:marLeft w:val="0"/>
      <w:marRight w:val="0"/>
      <w:marTop w:val="0"/>
      <w:marBottom w:val="0"/>
      <w:divBdr>
        <w:top w:val="none" w:sz="0" w:space="0" w:color="auto"/>
        <w:left w:val="none" w:sz="0" w:space="0" w:color="auto"/>
        <w:bottom w:val="none" w:sz="0" w:space="0" w:color="auto"/>
        <w:right w:val="none" w:sz="0" w:space="0" w:color="auto"/>
      </w:divBdr>
    </w:div>
    <w:div w:id="538665347">
      <w:bodyDiv w:val="1"/>
      <w:marLeft w:val="0"/>
      <w:marRight w:val="0"/>
      <w:marTop w:val="0"/>
      <w:marBottom w:val="0"/>
      <w:divBdr>
        <w:top w:val="none" w:sz="0" w:space="0" w:color="auto"/>
        <w:left w:val="none" w:sz="0" w:space="0" w:color="auto"/>
        <w:bottom w:val="none" w:sz="0" w:space="0" w:color="auto"/>
        <w:right w:val="none" w:sz="0" w:space="0" w:color="auto"/>
      </w:divBdr>
    </w:div>
    <w:div w:id="542644290">
      <w:bodyDiv w:val="1"/>
      <w:marLeft w:val="0"/>
      <w:marRight w:val="0"/>
      <w:marTop w:val="0"/>
      <w:marBottom w:val="0"/>
      <w:divBdr>
        <w:top w:val="none" w:sz="0" w:space="0" w:color="auto"/>
        <w:left w:val="none" w:sz="0" w:space="0" w:color="auto"/>
        <w:bottom w:val="none" w:sz="0" w:space="0" w:color="auto"/>
        <w:right w:val="none" w:sz="0" w:space="0" w:color="auto"/>
      </w:divBdr>
    </w:div>
    <w:div w:id="544633971">
      <w:bodyDiv w:val="1"/>
      <w:marLeft w:val="0"/>
      <w:marRight w:val="0"/>
      <w:marTop w:val="0"/>
      <w:marBottom w:val="0"/>
      <w:divBdr>
        <w:top w:val="none" w:sz="0" w:space="0" w:color="auto"/>
        <w:left w:val="none" w:sz="0" w:space="0" w:color="auto"/>
        <w:bottom w:val="none" w:sz="0" w:space="0" w:color="auto"/>
        <w:right w:val="none" w:sz="0" w:space="0" w:color="auto"/>
      </w:divBdr>
    </w:div>
    <w:div w:id="547111344">
      <w:bodyDiv w:val="1"/>
      <w:marLeft w:val="0"/>
      <w:marRight w:val="0"/>
      <w:marTop w:val="0"/>
      <w:marBottom w:val="0"/>
      <w:divBdr>
        <w:top w:val="none" w:sz="0" w:space="0" w:color="auto"/>
        <w:left w:val="none" w:sz="0" w:space="0" w:color="auto"/>
        <w:bottom w:val="none" w:sz="0" w:space="0" w:color="auto"/>
        <w:right w:val="none" w:sz="0" w:space="0" w:color="auto"/>
      </w:divBdr>
    </w:div>
    <w:div w:id="549266742">
      <w:bodyDiv w:val="1"/>
      <w:marLeft w:val="0"/>
      <w:marRight w:val="0"/>
      <w:marTop w:val="0"/>
      <w:marBottom w:val="0"/>
      <w:divBdr>
        <w:top w:val="none" w:sz="0" w:space="0" w:color="auto"/>
        <w:left w:val="none" w:sz="0" w:space="0" w:color="auto"/>
        <w:bottom w:val="none" w:sz="0" w:space="0" w:color="auto"/>
        <w:right w:val="none" w:sz="0" w:space="0" w:color="auto"/>
      </w:divBdr>
    </w:div>
    <w:div w:id="554781768">
      <w:bodyDiv w:val="1"/>
      <w:marLeft w:val="0"/>
      <w:marRight w:val="0"/>
      <w:marTop w:val="0"/>
      <w:marBottom w:val="0"/>
      <w:divBdr>
        <w:top w:val="none" w:sz="0" w:space="0" w:color="auto"/>
        <w:left w:val="none" w:sz="0" w:space="0" w:color="auto"/>
        <w:bottom w:val="none" w:sz="0" w:space="0" w:color="auto"/>
        <w:right w:val="none" w:sz="0" w:space="0" w:color="auto"/>
      </w:divBdr>
    </w:div>
    <w:div w:id="558711590">
      <w:bodyDiv w:val="1"/>
      <w:marLeft w:val="0"/>
      <w:marRight w:val="0"/>
      <w:marTop w:val="0"/>
      <w:marBottom w:val="0"/>
      <w:divBdr>
        <w:top w:val="none" w:sz="0" w:space="0" w:color="auto"/>
        <w:left w:val="none" w:sz="0" w:space="0" w:color="auto"/>
        <w:bottom w:val="none" w:sz="0" w:space="0" w:color="auto"/>
        <w:right w:val="none" w:sz="0" w:space="0" w:color="auto"/>
      </w:divBdr>
    </w:div>
    <w:div w:id="566184243">
      <w:bodyDiv w:val="1"/>
      <w:marLeft w:val="0"/>
      <w:marRight w:val="0"/>
      <w:marTop w:val="0"/>
      <w:marBottom w:val="0"/>
      <w:divBdr>
        <w:top w:val="none" w:sz="0" w:space="0" w:color="auto"/>
        <w:left w:val="none" w:sz="0" w:space="0" w:color="auto"/>
        <w:bottom w:val="none" w:sz="0" w:space="0" w:color="auto"/>
        <w:right w:val="none" w:sz="0" w:space="0" w:color="auto"/>
      </w:divBdr>
    </w:div>
    <w:div w:id="567349186">
      <w:bodyDiv w:val="1"/>
      <w:marLeft w:val="0"/>
      <w:marRight w:val="0"/>
      <w:marTop w:val="0"/>
      <w:marBottom w:val="0"/>
      <w:divBdr>
        <w:top w:val="none" w:sz="0" w:space="0" w:color="auto"/>
        <w:left w:val="none" w:sz="0" w:space="0" w:color="auto"/>
        <w:bottom w:val="none" w:sz="0" w:space="0" w:color="auto"/>
        <w:right w:val="none" w:sz="0" w:space="0" w:color="auto"/>
      </w:divBdr>
    </w:div>
    <w:div w:id="578447487">
      <w:bodyDiv w:val="1"/>
      <w:marLeft w:val="0"/>
      <w:marRight w:val="0"/>
      <w:marTop w:val="0"/>
      <w:marBottom w:val="0"/>
      <w:divBdr>
        <w:top w:val="none" w:sz="0" w:space="0" w:color="auto"/>
        <w:left w:val="none" w:sz="0" w:space="0" w:color="auto"/>
        <w:bottom w:val="none" w:sz="0" w:space="0" w:color="auto"/>
        <w:right w:val="none" w:sz="0" w:space="0" w:color="auto"/>
      </w:divBdr>
    </w:div>
    <w:div w:id="579490601">
      <w:bodyDiv w:val="1"/>
      <w:marLeft w:val="0"/>
      <w:marRight w:val="0"/>
      <w:marTop w:val="0"/>
      <w:marBottom w:val="0"/>
      <w:divBdr>
        <w:top w:val="none" w:sz="0" w:space="0" w:color="auto"/>
        <w:left w:val="none" w:sz="0" w:space="0" w:color="auto"/>
        <w:bottom w:val="none" w:sz="0" w:space="0" w:color="auto"/>
        <w:right w:val="none" w:sz="0" w:space="0" w:color="auto"/>
      </w:divBdr>
    </w:div>
    <w:div w:id="580216062">
      <w:bodyDiv w:val="1"/>
      <w:marLeft w:val="0"/>
      <w:marRight w:val="0"/>
      <w:marTop w:val="0"/>
      <w:marBottom w:val="0"/>
      <w:divBdr>
        <w:top w:val="none" w:sz="0" w:space="0" w:color="auto"/>
        <w:left w:val="none" w:sz="0" w:space="0" w:color="auto"/>
        <w:bottom w:val="none" w:sz="0" w:space="0" w:color="auto"/>
        <w:right w:val="none" w:sz="0" w:space="0" w:color="auto"/>
      </w:divBdr>
    </w:div>
    <w:div w:id="585966500">
      <w:bodyDiv w:val="1"/>
      <w:marLeft w:val="0"/>
      <w:marRight w:val="0"/>
      <w:marTop w:val="0"/>
      <w:marBottom w:val="0"/>
      <w:divBdr>
        <w:top w:val="none" w:sz="0" w:space="0" w:color="auto"/>
        <w:left w:val="none" w:sz="0" w:space="0" w:color="auto"/>
        <w:bottom w:val="none" w:sz="0" w:space="0" w:color="auto"/>
        <w:right w:val="none" w:sz="0" w:space="0" w:color="auto"/>
      </w:divBdr>
    </w:div>
    <w:div w:id="588779207">
      <w:bodyDiv w:val="1"/>
      <w:marLeft w:val="0"/>
      <w:marRight w:val="0"/>
      <w:marTop w:val="0"/>
      <w:marBottom w:val="0"/>
      <w:divBdr>
        <w:top w:val="none" w:sz="0" w:space="0" w:color="auto"/>
        <w:left w:val="none" w:sz="0" w:space="0" w:color="auto"/>
        <w:bottom w:val="none" w:sz="0" w:space="0" w:color="auto"/>
        <w:right w:val="none" w:sz="0" w:space="0" w:color="auto"/>
      </w:divBdr>
    </w:div>
    <w:div w:id="592590866">
      <w:bodyDiv w:val="1"/>
      <w:marLeft w:val="0"/>
      <w:marRight w:val="0"/>
      <w:marTop w:val="0"/>
      <w:marBottom w:val="0"/>
      <w:divBdr>
        <w:top w:val="none" w:sz="0" w:space="0" w:color="auto"/>
        <w:left w:val="none" w:sz="0" w:space="0" w:color="auto"/>
        <w:bottom w:val="none" w:sz="0" w:space="0" w:color="auto"/>
        <w:right w:val="none" w:sz="0" w:space="0" w:color="auto"/>
      </w:divBdr>
    </w:div>
    <w:div w:id="595677176">
      <w:bodyDiv w:val="1"/>
      <w:marLeft w:val="0"/>
      <w:marRight w:val="0"/>
      <w:marTop w:val="0"/>
      <w:marBottom w:val="0"/>
      <w:divBdr>
        <w:top w:val="none" w:sz="0" w:space="0" w:color="auto"/>
        <w:left w:val="none" w:sz="0" w:space="0" w:color="auto"/>
        <w:bottom w:val="none" w:sz="0" w:space="0" w:color="auto"/>
        <w:right w:val="none" w:sz="0" w:space="0" w:color="auto"/>
      </w:divBdr>
    </w:div>
    <w:div w:id="599727598">
      <w:bodyDiv w:val="1"/>
      <w:marLeft w:val="0"/>
      <w:marRight w:val="0"/>
      <w:marTop w:val="0"/>
      <w:marBottom w:val="0"/>
      <w:divBdr>
        <w:top w:val="none" w:sz="0" w:space="0" w:color="auto"/>
        <w:left w:val="none" w:sz="0" w:space="0" w:color="auto"/>
        <w:bottom w:val="none" w:sz="0" w:space="0" w:color="auto"/>
        <w:right w:val="none" w:sz="0" w:space="0" w:color="auto"/>
      </w:divBdr>
    </w:div>
    <w:div w:id="600799979">
      <w:bodyDiv w:val="1"/>
      <w:marLeft w:val="0"/>
      <w:marRight w:val="0"/>
      <w:marTop w:val="0"/>
      <w:marBottom w:val="0"/>
      <w:divBdr>
        <w:top w:val="none" w:sz="0" w:space="0" w:color="auto"/>
        <w:left w:val="none" w:sz="0" w:space="0" w:color="auto"/>
        <w:bottom w:val="none" w:sz="0" w:space="0" w:color="auto"/>
        <w:right w:val="none" w:sz="0" w:space="0" w:color="auto"/>
      </w:divBdr>
    </w:div>
    <w:div w:id="603998380">
      <w:bodyDiv w:val="1"/>
      <w:marLeft w:val="0"/>
      <w:marRight w:val="0"/>
      <w:marTop w:val="0"/>
      <w:marBottom w:val="0"/>
      <w:divBdr>
        <w:top w:val="none" w:sz="0" w:space="0" w:color="auto"/>
        <w:left w:val="none" w:sz="0" w:space="0" w:color="auto"/>
        <w:bottom w:val="none" w:sz="0" w:space="0" w:color="auto"/>
        <w:right w:val="none" w:sz="0" w:space="0" w:color="auto"/>
      </w:divBdr>
    </w:div>
    <w:div w:id="621424634">
      <w:bodyDiv w:val="1"/>
      <w:marLeft w:val="0"/>
      <w:marRight w:val="0"/>
      <w:marTop w:val="0"/>
      <w:marBottom w:val="0"/>
      <w:divBdr>
        <w:top w:val="none" w:sz="0" w:space="0" w:color="auto"/>
        <w:left w:val="none" w:sz="0" w:space="0" w:color="auto"/>
        <w:bottom w:val="none" w:sz="0" w:space="0" w:color="auto"/>
        <w:right w:val="none" w:sz="0" w:space="0" w:color="auto"/>
      </w:divBdr>
    </w:div>
    <w:div w:id="624317036">
      <w:bodyDiv w:val="1"/>
      <w:marLeft w:val="0"/>
      <w:marRight w:val="0"/>
      <w:marTop w:val="0"/>
      <w:marBottom w:val="0"/>
      <w:divBdr>
        <w:top w:val="none" w:sz="0" w:space="0" w:color="auto"/>
        <w:left w:val="none" w:sz="0" w:space="0" w:color="auto"/>
        <w:bottom w:val="none" w:sz="0" w:space="0" w:color="auto"/>
        <w:right w:val="none" w:sz="0" w:space="0" w:color="auto"/>
      </w:divBdr>
    </w:div>
    <w:div w:id="626620844">
      <w:bodyDiv w:val="1"/>
      <w:marLeft w:val="0"/>
      <w:marRight w:val="0"/>
      <w:marTop w:val="0"/>
      <w:marBottom w:val="0"/>
      <w:divBdr>
        <w:top w:val="none" w:sz="0" w:space="0" w:color="auto"/>
        <w:left w:val="none" w:sz="0" w:space="0" w:color="auto"/>
        <w:bottom w:val="none" w:sz="0" w:space="0" w:color="auto"/>
        <w:right w:val="none" w:sz="0" w:space="0" w:color="auto"/>
      </w:divBdr>
    </w:div>
    <w:div w:id="633760124">
      <w:bodyDiv w:val="1"/>
      <w:marLeft w:val="0"/>
      <w:marRight w:val="0"/>
      <w:marTop w:val="0"/>
      <w:marBottom w:val="0"/>
      <w:divBdr>
        <w:top w:val="none" w:sz="0" w:space="0" w:color="auto"/>
        <w:left w:val="none" w:sz="0" w:space="0" w:color="auto"/>
        <w:bottom w:val="none" w:sz="0" w:space="0" w:color="auto"/>
        <w:right w:val="none" w:sz="0" w:space="0" w:color="auto"/>
      </w:divBdr>
    </w:div>
    <w:div w:id="638340898">
      <w:bodyDiv w:val="1"/>
      <w:marLeft w:val="0"/>
      <w:marRight w:val="0"/>
      <w:marTop w:val="0"/>
      <w:marBottom w:val="0"/>
      <w:divBdr>
        <w:top w:val="none" w:sz="0" w:space="0" w:color="auto"/>
        <w:left w:val="none" w:sz="0" w:space="0" w:color="auto"/>
        <w:bottom w:val="none" w:sz="0" w:space="0" w:color="auto"/>
        <w:right w:val="none" w:sz="0" w:space="0" w:color="auto"/>
      </w:divBdr>
    </w:div>
    <w:div w:id="640231567">
      <w:bodyDiv w:val="1"/>
      <w:marLeft w:val="0"/>
      <w:marRight w:val="0"/>
      <w:marTop w:val="0"/>
      <w:marBottom w:val="0"/>
      <w:divBdr>
        <w:top w:val="none" w:sz="0" w:space="0" w:color="auto"/>
        <w:left w:val="none" w:sz="0" w:space="0" w:color="auto"/>
        <w:bottom w:val="none" w:sz="0" w:space="0" w:color="auto"/>
        <w:right w:val="none" w:sz="0" w:space="0" w:color="auto"/>
      </w:divBdr>
    </w:div>
    <w:div w:id="648939654">
      <w:bodyDiv w:val="1"/>
      <w:marLeft w:val="0"/>
      <w:marRight w:val="0"/>
      <w:marTop w:val="0"/>
      <w:marBottom w:val="0"/>
      <w:divBdr>
        <w:top w:val="none" w:sz="0" w:space="0" w:color="auto"/>
        <w:left w:val="none" w:sz="0" w:space="0" w:color="auto"/>
        <w:bottom w:val="none" w:sz="0" w:space="0" w:color="auto"/>
        <w:right w:val="none" w:sz="0" w:space="0" w:color="auto"/>
      </w:divBdr>
    </w:div>
    <w:div w:id="650328824">
      <w:bodyDiv w:val="1"/>
      <w:marLeft w:val="0"/>
      <w:marRight w:val="0"/>
      <w:marTop w:val="0"/>
      <w:marBottom w:val="0"/>
      <w:divBdr>
        <w:top w:val="none" w:sz="0" w:space="0" w:color="auto"/>
        <w:left w:val="none" w:sz="0" w:space="0" w:color="auto"/>
        <w:bottom w:val="none" w:sz="0" w:space="0" w:color="auto"/>
        <w:right w:val="none" w:sz="0" w:space="0" w:color="auto"/>
      </w:divBdr>
    </w:div>
    <w:div w:id="652493817">
      <w:bodyDiv w:val="1"/>
      <w:marLeft w:val="0"/>
      <w:marRight w:val="0"/>
      <w:marTop w:val="0"/>
      <w:marBottom w:val="0"/>
      <w:divBdr>
        <w:top w:val="none" w:sz="0" w:space="0" w:color="auto"/>
        <w:left w:val="none" w:sz="0" w:space="0" w:color="auto"/>
        <w:bottom w:val="none" w:sz="0" w:space="0" w:color="auto"/>
        <w:right w:val="none" w:sz="0" w:space="0" w:color="auto"/>
      </w:divBdr>
    </w:div>
    <w:div w:id="664826163">
      <w:bodyDiv w:val="1"/>
      <w:marLeft w:val="0"/>
      <w:marRight w:val="0"/>
      <w:marTop w:val="0"/>
      <w:marBottom w:val="0"/>
      <w:divBdr>
        <w:top w:val="none" w:sz="0" w:space="0" w:color="auto"/>
        <w:left w:val="none" w:sz="0" w:space="0" w:color="auto"/>
        <w:bottom w:val="none" w:sz="0" w:space="0" w:color="auto"/>
        <w:right w:val="none" w:sz="0" w:space="0" w:color="auto"/>
      </w:divBdr>
    </w:div>
    <w:div w:id="665977103">
      <w:bodyDiv w:val="1"/>
      <w:marLeft w:val="0"/>
      <w:marRight w:val="0"/>
      <w:marTop w:val="0"/>
      <w:marBottom w:val="0"/>
      <w:divBdr>
        <w:top w:val="none" w:sz="0" w:space="0" w:color="auto"/>
        <w:left w:val="none" w:sz="0" w:space="0" w:color="auto"/>
        <w:bottom w:val="none" w:sz="0" w:space="0" w:color="auto"/>
        <w:right w:val="none" w:sz="0" w:space="0" w:color="auto"/>
      </w:divBdr>
    </w:div>
    <w:div w:id="668140435">
      <w:bodyDiv w:val="1"/>
      <w:marLeft w:val="0"/>
      <w:marRight w:val="0"/>
      <w:marTop w:val="0"/>
      <w:marBottom w:val="0"/>
      <w:divBdr>
        <w:top w:val="none" w:sz="0" w:space="0" w:color="auto"/>
        <w:left w:val="none" w:sz="0" w:space="0" w:color="auto"/>
        <w:bottom w:val="none" w:sz="0" w:space="0" w:color="auto"/>
        <w:right w:val="none" w:sz="0" w:space="0" w:color="auto"/>
      </w:divBdr>
    </w:div>
    <w:div w:id="668489376">
      <w:bodyDiv w:val="1"/>
      <w:marLeft w:val="0"/>
      <w:marRight w:val="0"/>
      <w:marTop w:val="0"/>
      <w:marBottom w:val="0"/>
      <w:divBdr>
        <w:top w:val="none" w:sz="0" w:space="0" w:color="auto"/>
        <w:left w:val="none" w:sz="0" w:space="0" w:color="auto"/>
        <w:bottom w:val="none" w:sz="0" w:space="0" w:color="auto"/>
        <w:right w:val="none" w:sz="0" w:space="0" w:color="auto"/>
      </w:divBdr>
    </w:div>
    <w:div w:id="668604527">
      <w:bodyDiv w:val="1"/>
      <w:marLeft w:val="0"/>
      <w:marRight w:val="0"/>
      <w:marTop w:val="0"/>
      <w:marBottom w:val="0"/>
      <w:divBdr>
        <w:top w:val="none" w:sz="0" w:space="0" w:color="auto"/>
        <w:left w:val="none" w:sz="0" w:space="0" w:color="auto"/>
        <w:bottom w:val="none" w:sz="0" w:space="0" w:color="auto"/>
        <w:right w:val="none" w:sz="0" w:space="0" w:color="auto"/>
      </w:divBdr>
    </w:div>
    <w:div w:id="674842035">
      <w:bodyDiv w:val="1"/>
      <w:marLeft w:val="0"/>
      <w:marRight w:val="0"/>
      <w:marTop w:val="0"/>
      <w:marBottom w:val="0"/>
      <w:divBdr>
        <w:top w:val="none" w:sz="0" w:space="0" w:color="auto"/>
        <w:left w:val="none" w:sz="0" w:space="0" w:color="auto"/>
        <w:bottom w:val="none" w:sz="0" w:space="0" w:color="auto"/>
        <w:right w:val="none" w:sz="0" w:space="0" w:color="auto"/>
      </w:divBdr>
    </w:div>
    <w:div w:id="677149938">
      <w:bodyDiv w:val="1"/>
      <w:marLeft w:val="0"/>
      <w:marRight w:val="0"/>
      <w:marTop w:val="0"/>
      <w:marBottom w:val="0"/>
      <w:divBdr>
        <w:top w:val="none" w:sz="0" w:space="0" w:color="auto"/>
        <w:left w:val="none" w:sz="0" w:space="0" w:color="auto"/>
        <w:bottom w:val="none" w:sz="0" w:space="0" w:color="auto"/>
        <w:right w:val="none" w:sz="0" w:space="0" w:color="auto"/>
      </w:divBdr>
    </w:div>
    <w:div w:id="687489529">
      <w:bodyDiv w:val="1"/>
      <w:marLeft w:val="0"/>
      <w:marRight w:val="0"/>
      <w:marTop w:val="0"/>
      <w:marBottom w:val="0"/>
      <w:divBdr>
        <w:top w:val="none" w:sz="0" w:space="0" w:color="auto"/>
        <w:left w:val="none" w:sz="0" w:space="0" w:color="auto"/>
        <w:bottom w:val="none" w:sz="0" w:space="0" w:color="auto"/>
        <w:right w:val="none" w:sz="0" w:space="0" w:color="auto"/>
      </w:divBdr>
    </w:div>
    <w:div w:id="692269256">
      <w:bodyDiv w:val="1"/>
      <w:marLeft w:val="0"/>
      <w:marRight w:val="0"/>
      <w:marTop w:val="0"/>
      <w:marBottom w:val="0"/>
      <w:divBdr>
        <w:top w:val="none" w:sz="0" w:space="0" w:color="auto"/>
        <w:left w:val="none" w:sz="0" w:space="0" w:color="auto"/>
        <w:bottom w:val="none" w:sz="0" w:space="0" w:color="auto"/>
        <w:right w:val="none" w:sz="0" w:space="0" w:color="auto"/>
      </w:divBdr>
    </w:div>
    <w:div w:id="695620773">
      <w:bodyDiv w:val="1"/>
      <w:marLeft w:val="0"/>
      <w:marRight w:val="0"/>
      <w:marTop w:val="0"/>
      <w:marBottom w:val="0"/>
      <w:divBdr>
        <w:top w:val="none" w:sz="0" w:space="0" w:color="auto"/>
        <w:left w:val="none" w:sz="0" w:space="0" w:color="auto"/>
        <w:bottom w:val="none" w:sz="0" w:space="0" w:color="auto"/>
        <w:right w:val="none" w:sz="0" w:space="0" w:color="auto"/>
      </w:divBdr>
    </w:div>
    <w:div w:id="695741240">
      <w:bodyDiv w:val="1"/>
      <w:marLeft w:val="0"/>
      <w:marRight w:val="0"/>
      <w:marTop w:val="0"/>
      <w:marBottom w:val="0"/>
      <w:divBdr>
        <w:top w:val="none" w:sz="0" w:space="0" w:color="auto"/>
        <w:left w:val="none" w:sz="0" w:space="0" w:color="auto"/>
        <w:bottom w:val="none" w:sz="0" w:space="0" w:color="auto"/>
        <w:right w:val="none" w:sz="0" w:space="0" w:color="auto"/>
      </w:divBdr>
    </w:div>
    <w:div w:id="698361978">
      <w:bodyDiv w:val="1"/>
      <w:marLeft w:val="0"/>
      <w:marRight w:val="0"/>
      <w:marTop w:val="0"/>
      <w:marBottom w:val="0"/>
      <w:divBdr>
        <w:top w:val="none" w:sz="0" w:space="0" w:color="auto"/>
        <w:left w:val="none" w:sz="0" w:space="0" w:color="auto"/>
        <w:bottom w:val="none" w:sz="0" w:space="0" w:color="auto"/>
        <w:right w:val="none" w:sz="0" w:space="0" w:color="auto"/>
      </w:divBdr>
    </w:div>
    <w:div w:id="708333867">
      <w:bodyDiv w:val="1"/>
      <w:marLeft w:val="0"/>
      <w:marRight w:val="0"/>
      <w:marTop w:val="0"/>
      <w:marBottom w:val="0"/>
      <w:divBdr>
        <w:top w:val="none" w:sz="0" w:space="0" w:color="auto"/>
        <w:left w:val="none" w:sz="0" w:space="0" w:color="auto"/>
        <w:bottom w:val="none" w:sz="0" w:space="0" w:color="auto"/>
        <w:right w:val="none" w:sz="0" w:space="0" w:color="auto"/>
      </w:divBdr>
    </w:div>
    <w:div w:id="712997520">
      <w:bodyDiv w:val="1"/>
      <w:marLeft w:val="0"/>
      <w:marRight w:val="0"/>
      <w:marTop w:val="0"/>
      <w:marBottom w:val="0"/>
      <w:divBdr>
        <w:top w:val="none" w:sz="0" w:space="0" w:color="auto"/>
        <w:left w:val="none" w:sz="0" w:space="0" w:color="auto"/>
        <w:bottom w:val="none" w:sz="0" w:space="0" w:color="auto"/>
        <w:right w:val="none" w:sz="0" w:space="0" w:color="auto"/>
      </w:divBdr>
    </w:div>
    <w:div w:id="713118344">
      <w:bodyDiv w:val="1"/>
      <w:marLeft w:val="0"/>
      <w:marRight w:val="0"/>
      <w:marTop w:val="0"/>
      <w:marBottom w:val="0"/>
      <w:divBdr>
        <w:top w:val="none" w:sz="0" w:space="0" w:color="auto"/>
        <w:left w:val="none" w:sz="0" w:space="0" w:color="auto"/>
        <w:bottom w:val="none" w:sz="0" w:space="0" w:color="auto"/>
        <w:right w:val="none" w:sz="0" w:space="0" w:color="auto"/>
      </w:divBdr>
    </w:div>
    <w:div w:id="719400412">
      <w:bodyDiv w:val="1"/>
      <w:marLeft w:val="0"/>
      <w:marRight w:val="0"/>
      <w:marTop w:val="0"/>
      <w:marBottom w:val="0"/>
      <w:divBdr>
        <w:top w:val="none" w:sz="0" w:space="0" w:color="auto"/>
        <w:left w:val="none" w:sz="0" w:space="0" w:color="auto"/>
        <w:bottom w:val="none" w:sz="0" w:space="0" w:color="auto"/>
        <w:right w:val="none" w:sz="0" w:space="0" w:color="auto"/>
      </w:divBdr>
    </w:div>
    <w:div w:id="719978543">
      <w:bodyDiv w:val="1"/>
      <w:marLeft w:val="0"/>
      <w:marRight w:val="0"/>
      <w:marTop w:val="0"/>
      <w:marBottom w:val="0"/>
      <w:divBdr>
        <w:top w:val="none" w:sz="0" w:space="0" w:color="auto"/>
        <w:left w:val="none" w:sz="0" w:space="0" w:color="auto"/>
        <w:bottom w:val="none" w:sz="0" w:space="0" w:color="auto"/>
        <w:right w:val="none" w:sz="0" w:space="0" w:color="auto"/>
      </w:divBdr>
    </w:div>
    <w:div w:id="721683907">
      <w:bodyDiv w:val="1"/>
      <w:marLeft w:val="0"/>
      <w:marRight w:val="0"/>
      <w:marTop w:val="0"/>
      <w:marBottom w:val="0"/>
      <w:divBdr>
        <w:top w:val="none" w:sz="0" w:space="0" w:color="auto"/>
        <w:left w:val="none" w:sz="0" w:space="0" w:color="auto"/>
        <w:bottom w:val="none" w:sz="0" w:space="0" w:color="auto"/>
        <w:right w:val="none" w:sz="0" w:space="0" w:color="auto"/>
      </w:divBdr>
    </w:div>
    <w:div w:id="724572910">
      <w:bodyDiv w:val="1"/>
      <w:marLeft w:val="0"/>
      <w:marRight w:val="0"/>
      <w:marTop w:val="0"/>
      <w:marBottom w:val="0"/>
      <w:divBdr>
        <w:top w:val="none" w:sz="0" w:space="0" w:color="auto"/>
        <w:left w:val="none" w:sz="0" w:space="0" w:color="auto"/>
        <w:bottom w:val="none" w:sz="0" w:space="0" w:color="auto"/>
        <w:right w:val="none" w:sz="0" w:space="0" w:color="auto"/>
      </w:divBdr>
    </w:div>
    <w:div w:id="725954257">
      <w:bodyDiv w:val="1"/>
      <w:marLeft w:val="0"/>
      <w:marRight w:val="0"/>
      <w:marTop w:val="0"/>
      <w:marBottom w:val="0"/>
      <w:divBdr>
        <w:top w:val="none" w:sz="0" w:space="0" w:color="auto"/>
        <w:left w:val="none" w:sz="0" w:space="0" w:color="auto"/>
        <w:bottom w:val="none" w:sz="0" w:space="0" w:color="auto"/>
        <w:right w:val="none" w:sz="0" w:space="0" w:color="auto"/>
      </w:divBdr>
    </w:div>
    <w:div w:id="750279525">
      <w:bodyDiv w:val="1"/>
      <w:marLeft w:val="0"/>
      <w:marRight w:val="0"/>
      <w:marTop w:val="0"/>
      <w:marBottom w:val="0"/>
      <w:divBdr>
        <w:top w:val="none" w:sz="0" w:space="0" w:color="auto"/>
        <w:left w:val="none" w:sz="0" w:space="0" w:color="auto"/>
        <w:bottom w:val="none" w:sz="0" w:space="0" w:color="auto"/>
        <w:right w:val="none" w:sz="0" w:space="0" w:color="auto"/>
      </w:divBdr>
    </w:div>
    <w:div w:id="752512284">
      <w:bodyDiv w:val="1"/>
      <w:marLeft w:val="0"/>
      <w:marRight w:val="0"/>
      <w:marTop w:val="0"/>
      <w:marBottom w:val="0"/>
      <w:divBdr>
        <w:top w:val="none" w:sz="0" w:space="0" w:color="auto"/>
        <w:left w:val="none" w:sz="0" w:space="0" w:color="auto"/>
        <w:bottom w:val="none" w:sz="0" w:space="0" w:color="auto"/>
        <w:right w:val="none" w:sz="0" w:space="0" w:color="auto"/>
      </w:divBdr>
    </w:div>
    <w:div w:id="757798840">
      <w:bodyDiv w:val="1"/>
      <w:marLeft w:val="0"/>
      <w:marRight w:val="0"/>
      <w:marTop w:val="0"/>
      <w:marBottom w:val="0"/>
      <w:divBdr>
        <w:top w:val="none" w:sz="0" w:space="0" w:color="auto"/>
        <w:left w:val="none" w:sz="0" w:space="0" w:color="auto"/>
        <w:bottom w:val="none" w:sz="0" w:space="0" w:color="auto"/>
        <w:right w:val="none" w:sz="0" w:space="0" w:color="auto"/>
      </w:divBdr>
    </w:div>
    <w:div w:id="758864861">
      <w:bodyDiv w:val="1"/>
      <w:marLeft w:val="0"/>
      <w:marRight w:val="0"/>
      <w:marTop w:val="0"/>
      <w:marBottom w:val="0"/>
      <w:divBdr>
        <w:top w:val="none" w:sz="0" w:space="0" w:color="auto"/>
        <w:left w:val="none" w:sz="0" w:space="0" w:color="auto"/>
        <w:bottom w:val="none" w:sz="0" w:space="0" w:color="auto"/>
        <w:right w:val="none" w:sz="0" w:space="0" w:color="auto"/>
      </w:divBdr>
    </w:div>
    <w:div w:id="761026035">
      <w:bodyDiv w:val="1"/>
      <w:marLeft w:val="0"/>
      <w:marRight w:val="0"/>
      <w:marTop w:val="0"/>
      <w:marBottom w:val="0"/>
      <w:divBdr>
        <w:top w:val="none" w:sz="0" w:space="0" w:color="auto"/>
        <w:left w:val="none" w:sz="0" w:space="0" w:color="auto"/>
        <w:bottom w:val="none" w:sz="0" w:space="0" w:color="auto"/>
        <w:right w:val="none" w:sz="0" w:space="0" w:color="auto"/>
      </w:divBdr>
    </w:div>
    <w:div w:id="765269172">
      <w:bodyDiv w:val="1"/>
      <w:marLeft w:val="0"/>
      <w:marRight w:val="0"/>
      <w:marTop w:val="0"/>
      <w:marBottom w:val="0"/>
      <w:divBdr>
        <w:top w:val="none" w:sz="0" w:space="0" w:color="auto"/>
        <w:left w:val="none" w:sz="0" w:space="0" w:color="auto"/>
        <w:bottom w:val="none" w:sz="0" w:space="0" w:color="auto"/>
        <w:right w:val="none" w:sz="0" w:space="0" w:color="auto"/>
      </w:divBdr>
    </w:div>
    <w:div w:id="774135818">
      <w:bodyDiv w:val="1"/>
      <w:marLeft w:val="0"/>
      <w:marRight w:val="0"/>
      <w:marTop w:val="0"/>
      <w:marBottom w:val="0"/>
      <w:divBdr>
        <w:top w:val="none" w:sz="0" w:space="0" w:color="auto"/>
        <w:left w:val="none" w:sz="0" w:space="0" w:color="auto"/>
        <w:bottom w:val="none" w:sz="0" w:space="0" w:color="auto"/>
        <w:right w:val="none" w:sz="0" w:space="0" w:color="auto"/>
      </w:divBdr>
    </w:div>
    <w:div w:id="777680459">
      <w:bodyDiv w:val="1"/>
      <w:marLeft w:val="0"/>
      <w:marRight w:val="0"/>
      <w:marTop w:val="0"/>
      <w:marBottom w:val="0"/>
      <w:divBdr>
        <w:top w:val="none" w:sz="0" w:space="0" w:color="auto"/>
        <w:left w:val="none" w:sz="0" w:space="0" w:color="auto"/>
        <w:bottom w:val="none" w:sz="0" w:space="0" w:color="auto"/>
        <w:right w:val="none" w:sz="0" w:space="0" w:color="auto"/>
      </w:divBdr>
    </w:div>
    <w:div w:id="782501238">
      <w:bodyDiv w:val="1"/>
      <w:marLeft w:val="0"/>
      <w:marRight w:val="0"/>
      <w:marTop w:val="0"/>
      <w:marBottom w:val="0"/>
      <w:divBdr>
        <w:top w:val="none" w:sz="0" w:space="0" w:color="auto"/>
        <w:left w:val="none" w:sz="0" w:space="0" w:color="auto"/>
        <w:bottom w:val="none" w:sz="0" w:space="0" w:color="auto"/>
        <w:right w:val="none" w:sz="0" w:space="0" w:color="auto"/>
      </w:divBdr>
    </w:div>
    <w:div w:id="782651443">
      <w:bodyDiv w:val="1"/>
      <w:marLeft w:val="0"/>
      <w:marRight w:val="0"/>
      <w:marTop w:val="0"/>
      <w:marBottom w:val="0"/>
      <w:divBdr>
        <w:top w:val="none" w:sz="0" w:space="0" w:color="auto"/>
        <w:left w:val="none" w:sz="0" w:space="0" w:color="auto"/>
        <w:bottom w:val="none" w:sz="0" w:space="0" w:color="auto"/>
        <w:right w:val="none" w:sz="0" w:space="0" w:color="auto"/>
      </w:divBdr>
    </w:div>
    <w:div w:id="786116955">
      <w:bodyDiv w:val="1"/>
      <w:marLeft w:val="0"/>
      <w:marRight w:val="0"/>
      <w:marTop w:val="0"/>
      <w:marBottom w:val="0"/>
      <w:divBdr>
        <w:top w:val="none" w:sz="0" w:space="0" w:color="auto"/>
        <w:left w:val="none" w:sz="0" w:space="0" w:color="auto"/>
        <w:bottom w:val="none" w:sz="0" w:space="0" w:color="auto"/>
        <w:right w:val="none" w:sz="0" w:space="0" w:color="auto"/>
      </w:divBdr>
    </w:div>
    <w:div w:id="787966922">
      <w:bodyDiv w:val="1"/>
      <w:marLeft w:val="0"/>
      <w:marRight w:val="0"/>
      <w:marTop w:val="0"/>
      <w:marBottom w:val="0"/>
      <w:divBdr>
        <w:top w:val="none" w:sz="0" w:space="0" w:color="auto"/>
        <w:left w:val="none" w:sz="0" w:space="0" w:color="auto"/>
        <w:bottom w:val="none" w:sz="0" w:space="0" w:color="auto"/>
        <w:right w:val="none" w:sz="0" w:space="0" w:color="auto"/>
      </w:divBdr>
    </w:div>
    <w:div w:id="789279462">
      <w:bodyDiv w:val="1"/>
      <w:marLeft w:val="0"/>
      <w:marRight w:val="0"/>
      <w:marTop w:val="0"/>
      <w:marBottom w:val="0"/>
      <w:divBdr>
        <w:top w:val="none" w:sz="0" w:space="0" w:color="auto"/>
        <w:left w:val="none" w:sz="0" w:space="0" w:color="auto"/>
        <w:bottom w:val="none" w:sz="0" w:space="0" w:color="auto"/>
        <w:right w:val="none" w:sz="0" w:space="0" w:color="auto"/>
      </w:divBdr>
    </w:div>
    <w:div w:id="792821548">
      <w:bodyDiv w:val="1"/>
      <w:marLeft w:val="0"/>
      <w:marRight w:val="0"/>
      <w:marTop w:val="0"/>
      <w:marBottom w:val="0"/>
      <w:divBdr>
        <w:top w:val="none" w:sz="0" w:space="0" w:color="auto"/>
        <w:left w:val="none" w:sz="0" w:space="0" w:color="auto"/>
        <w:bottom w:val="none" w:sz="0" w:space="0" w:color="auto"/>
        <w:right w:val="none" w:sz="0" w:space="0" w:color="auto"/>
      </w:divBdr>
    </w:div>
    <w:div w:id="798063490">
      <w:bodyDiv w:val="1"/>
      <w:marLeft w:val="0"/>
      <w:marRight w:val="0"/>
      <w:marTop w:val="0"/>
      <w:marBottom w:val="0"/>
      <w:divBdr>
        <w:top w:val="none" w:sz="0" w:space="0" w:color="auto"/>
        <w:left w:val="none" w:sz="0" w:space="0" w:color="auto"/>
        <w:bottom w:val="none" w:sz="0" w:space="0" w:color="auto"/>
        <w:right w:val="none" w:sz="0" w:space="0" w:color="auto"/>
      </w:divBdr>
    </w:div>
    <w:div w:id="811024761">
      <w:bodyDiv w:val="1"/>
      <w:marLeft w:val="0"/>
      <w:marRight w:val="0"/>
      <w:marTop w:val="0"/>
      <w:marBottom w:val="0"/>
      <w:divBdr>
        <w:top w:val="none" w:sz="0" w:space="0" w:color="auto"/>
        <w:left w:val="none" w:sz="0" w:space="0" w:color="auto"/>
        <w:bottom w:val="none" w:sz="0" w:space="0" w:color="auto"/>
        <w:right w:val="none" w:sz="0" w:space="0" w:color="auto"/>
      </w:divBdr>
    </w:div>
    <w:div w:id="817066939">
      <w:bodyDiv w:val="1"/>
      <w:marLeft w:val="0"/>
      <w:marRight w:val="0"/>
      <w:marTop w:val="0"/>
      <w:marBottom w:val="0"/>
      <w:divBdr>
        <w:top w:val="none" w:sz="0" w:space="0" w:color="auto"/>
        <w:left w:val="none" w:sz="0" w:space="0" w:color="auto"/>
        <w:bottom w:val="none" w:sz="0" w:space="0" w:color="auto"/>
        <w:right w:val="none" w:sz="0" w:space="0" w:color="auto"/>
      </w:divBdr>
    </w:div>
    <w:div w:id="817958646">
      <w:bodyDiv w:val="1"/>
      <w:marLeft w:val="0"/>
      <w:marRight w:val="0"/>
      <w:marTop w:val="0"/>
      <w:marBottom w:val="0"/>
      <w:divBdr>
        <w:top w:val="none" w:sz="0" w:space="0" w:color="auto"/>
        <w:left w:val="none" w:sz="0" w:space="0" w:color="auto"/>
        <w:bottom w:val="none" w:sz="0" w:space="0" w:color="auto"/>
        <w:right w:val="none" w:sz="0" w:space="0" w:color="auto"/>
      </w:divBdr>
    </w:div>
    <w:div w:id="818227182">
      <w:bodyDiv w:val="1"/>
      <w:marLeft w:val="0"/>
      <w:marRight w:val="0"/>
      <w:marTop w:val="0"/>
      <w:marBottom w:val="0"/>
      <w:divBdr>
        <w:top w:val="none" w:sz="0" w:space="0" w:color="auto"/>
        <w:left w:val="none" w:sz="0" w:space="0" w:color="auto"/>
        <w:bottom w:val="none" w:sz="0" w:space="0" w:color="auto"/>
        <w:right w:val="none" w:sz="0" w:space="0" w:color="auto"/>
      </w:divBdr>
    </w:div>
    <w:div w:id="823661817">
      <w:bodyDiv w:val="1"/>
      <w:marLeft w:val="0"/>
      <w:marRight w:val="0"/>
      <w:marTop w:val="0"/>
      <w:marBottom w:val="0"/>
      <w:divBdr>
        <w:top w:val="none" w:sz="0" w:space="0" w:color="auto"/>
        <w:left w:val="none" w:sz="0" w:space="0" w:color="auto"/>
        <w:bottom w:val="none" w:sz="0" w:space="0" w:color="auto"/>
        <w:right w:val="none" w:sz="0" w:space="0" w:color="auto"/>
      </w:divBdr>
    </w:div>
    <w:div w:id="826675427">
      <w:bodyDiv w:val="1"/>
      <w:marLeft w:val="0"/>
      <w:marRight w:val="0"/>
      <w:marTop w:val="0"/>
      <w:marBottom w:val="0"/>
      <w:divBdr>
        <w:top w:val="none" w:sz="0" w:space="0" w:color="auto"/>
        <w:left w:val="none" w:sz="0" w:space="0" w:color="auto"/>
        <w:bottom w:val="none" w:sz="0" w:space="0" w:color="auto"/>
        <w:right w:val="none" w:sz="0" w:space="0" w:color="auto"/>
      </w:divBdr>
    </w:div>
    <w:div w:id="833909403">
      <w:bodyDiv w:val="1"/>
      <w:marLeft w:val="0"/>
      <w:marRight w:val="0"/>
      <w:marTop w:val="0"/>
      <w:marBottom w:val="0"/>
      <w:divBdr>
        <w:top w:val="none" w:sz="0" w:space="0" w:color="auto"/>
        <w:left w:val="none" w:sz="0" w:space="0" w:color="auto"/>
        <w:bottom w:val="none" w:sz="0" w:space="0" w:color="auto"/>
        <w:right w:val="none" w:sz="0" w:space="0" w:color="auto"/>
      </w:divBdr>
    </w:div>
    <w:div w:id="835337636">
      <w:bodyDiv w:val="1"/>
      <w:marLeft w:val="0"/>
      <w:marRight w:val="0"/>
      <w:marTop w:val="0"/>
      <w:marBottom w:val="0"/>
      <w:divBdr>
        <w:top w:val="none" w:sz="0" w:space="0" w:color="auto"/>
        <w:left w:val="none" w:sz="0" w:space="0" w:color="auto"/>
        <w:bottom w:val="none" w:sz="0" w:space="0" w:color="auto"/>
        <w:right w:val="none" w:sz="0" w:space="0" w:color="auto"/>
      </w:divBdr>
    </w:div>
    <w:div w:id="837157411">
      <w:bodyDiv w:val="1"/>
      <w:marLeft w:val="0"/>
      <w:marRight w:val="0"/>
      <w:marTop w:val="0"/>
      <w:marBottom w:val="0"/>
      <w:divBdr>
        <w:top w:val="none" w:sz="0" w:space="0" w:color="auto"/>
        <w:left w:val="none" w:sz="0" w:space="0" w:color="auto"/>
        <w:bottom w:val="none" w:sz="0" w:space="0" w:color="auto"/>
        <w:right w:val="none" w:sz="0" w:space="0" w:color="auto"/>
      </w:divBdr>
    </w:div>
    <w:div w:id="842091548">
      <w:bodyDiv w:val="1"/>
      <w:marLeft w:val="0"/>
      <w:marRight w:val="0"/>
      <w:marTop w:val="0"/>
      <w:marBottom w:val="0"/>
      <w:divBdr>
        <w:top w:val="none" w:sz="0" w:space="0" w:color="auto"/>
        <w:left w:val="none" w:sz="0" w:space="0" w:color="auto"/>
        <w:bottom w:val="none" w:sz="0" w:space="0" w:color="auto"/>
        <w:right w:val="none" w:sz="0" w:space="0" w:color="auto"/>
      </w:divBdr>
    </w:div>
    <w:div w:id="850921516">
      <w:bodyDiv w:val="1"/>
      <w:marLeft w:val="0"/>
      <w:marRight w:val="0"/>
      <w:marTop w:val="0"/>
      <w:marBottom w:val="0"/>
      <w:divBdr>
        <w:top w:val="none" w:sz="0" w:space="0" w:color="auto"/>
        <w:left w:val="none" w:sz="0" w:space="0" w:color="auto"/>
        <w:bottom w:val="none" w:sz="0" w:space="0" w:color="auto"/>
        <w:right w:val="none" w:sz="0" w:space="0" w:color="auto"/>
      </w:divBdr>
    </w:div>
    <w:div w:id="855507986">
      <w:bodyDiv w:val="1"/>
      <w:marLeft w:val="0"/>
      <w:marRight w:val="0"/>
      <w:marTop w:val="0"/>
      <w:marBottom w:val="0"/>
      <w:divBdr>
        <w:top w:val="none" w:sz="0" w:space="0" w:color="auto"/>
        <w:left w:val="none" w:sz="0" w:space="0" w:color="auto"/>
        <w:bottom w:val="none" w:sz="0" w:space="0" w:color="auto"/>
        <w:right w:val="none" w:sz="0" w:space="0" w:color="auto"/>
      </w:divBdr>
    </w:div>
    <w:div w:id="859392199">
      <w:bodyDiv w:val="1"/>
      <w:marLeft w:val="0"/>
      <w:marRight w:val="0"/>
      <w:marTop w:val="0"/>
      <w:marBottom w:val="0"/>
      <w:divBdr>
        <w:top w:val="none" w:sz="0" w:space="0" w:color="auto"/>
        <w:left w:val="none" w:sz="0" w:space="0" w:color="auto"/>
        <w:bottom w:val="none" w:sz="0" w:space="0" w:color="auto"/>
        <w:right w:val="none" w:sz="0" w:space="0" w:color="auto"/>
      </w:divBdr>
    </w:div>
    <w:div w:id="862211872">
      <w:bodyDiv w:val="1"/>
      <w:marLeft w:val="0"/>
      <w:marRight w:val="0"/>
      <w:marTop w:val="0"/>
      <w:marBottom w:val="0"/>
      <w:divBdr>
        <w:top w:val="none" w:sz="0" w:space="0" w:color="auto"/>
        <w:left w:val="none" w:sz="0" w:space="0" w:color="auto"/>
        <w:bottom w:val="none" w:sz="0" w:space="0" w:color="auto"/>
        <w:right w:val="none" w:sz="0" w:space="0" w:color="auto"/>
      </w:divBdr>
    </w:div>
    <w:div w:id="865993760">
      <w:bodyDiv w:val="1"/>
      <w:marLeft w:val="0"/>
      <w:marRight w:val="0"/>
      <w:marTop w:val="0"/>
      <w:marBottom w:val="0"/>
      <w:divBdr>
        <w:top w:val="none" w:sz="0" w:space="0" w:color="auto"/>
        <w:left w:val="none" w:sz="0" w:space="0" w:color="auto"/>
        <w:bottom w:val="none" w:sz="0" w:space="0" w:color="auto"/>
        <w:right w:val="none" w:sz="0" w:space="0" w:color="auto"/>
      </w:divBdr>
    </w:div>
    <w:div w:id="869563427">
      <w:bodyDiv w:val="1"/>
      <w:marLeft w:val="0"/>
      <w:marRight w:val="0"/>
      <w:marTop w:val="0"/>
      <w:marBottom w:val="0"/>
      <w:divBdr>
        <w:top w:val="none" w:sz="0" w:space="0" w:color="auto"/>
        <w:left w:val="none" w:sz="0" w:space="0" w:color="auto"/>
        <w:bottom w:val="none" w:sz="0" w:space="0" w:color="auto"/>
        <w:right w:val="none" w:sz="0" w:space="0" w:color="auto"/>
      </w:divBdr>
    </w:div>
    <w:div w:id="869950820">
      <w:bodyDiv w:val="1"/>
      <w:marLeft w:val="0"/>
      <w:marRight w:val="0"/>
      <w:marTop w:val="0"/>
      <w:marBottom w:val="0"/>
      <w:divBdr>
        <w:top w:val="none" w:sz="0" w:space="0" w:color="auto"/>
        <w:left w:val="none" w:sz="0" w:space="0" w:color="auto"/>
        <w:bottom w:val="none" w:sz="0" w:space="0" w:color="auto"/>
        <w:right w:val="none" w:sz="0" w:space="0" w:color="auto"/>
      </w:divBdr>
    </w:div>
    <w:div w:id="872577577">
      <w:bodyDiv w:val="1"/>
      <w:marLeft w:val="0"/>
      <w:marRight w:val="0"/>
      <w:marTop w:val="0"/>
      <w:marBottom w:val="0"/>
      <w:divBdr>
        <w:top w:val="none" w:sz="0" w:space="0" w:color="auto"/>
        <w:left w:val="none" w:sz="0" w:space="0" w:color="auto"/>
        <w:bottom w:val="none" w:sz="0" w:space="0" w:color="auto"/>
        <w:right w:val="none" w:sz="0" w:space="0" w:color="auto"/>
      </w:divBdr>
    </w:div>
    <w:div w:id="872960653">
      <w:bodyDiv w:val="1"/>
      <w:marLeft w:val="0"/>
      <w:marRight w:val="0"/>
      <w:marTop w:val="0"/>
      <w:marBottom w:val="0"/>
      <w:divBdr>
        <w:top w:val="none" w:sz="0" w:space="0" w:color="auto"/>
        <w:left w:val="none" w:sz="0" w:space="0" w:color="auto"/>
        <w:bottom w:val="none" w:sz="0" w:space="0" w:color="auto"/>
        <w:right w:val="none" w:sz="0" w:space="0" w:color="auto"/>
      </w:divBdr>
    </w:div>
    <w:div w:id="873232584">
      <w:bodyDiv w:val="1"/>
      <w:marLeft w:val="0"/>
      <w:marRight w:val="0"/>
      <w:marTop w:val="0"/>
      <w:marBottom w:val="0"/>
      <w:divBdr>
        <w:top w:val="none" w:sz="0" w:space="0" w:color="auto"/>
        <w:left w:val="none" w:sz="0" w:space="0" w:color="auto"/>
        <w:bottom w:val="none" w:sz="0" w:space="0" w:color="auto"/>
        <w:right w:val="none" w:sz="0" w:space="0" w:color="auto"/>
      </w:divBdr>
    </w:div>
    <w:div w:id="875118745">
      <w:bodyDiv w:val="1"/>
      <w:marLeft w:val="0"/>
      <w:marRight w:val="0"/>
      <w:marTop w:val="0"/>
      <w:marBottom w:val="0"/>
      <w:divBdr>
        <w:top w:val="none" w:sz="0" w:space="0" w:color="auto"/>
        <w:left w:val="none" w:sz="0" w:space="0" w:color="auto"/>
        <w:bottom w:val="none" w:sz="0" w:space="0" w:color="auto"/>
        <w:right w:val="none" w:sz="0" w:space="0" w:color="auto"/>
      </w:divBdr>
    </w:div>
    <w:div w:id="877357716">
      <w:bodyDiv w:val="1"/>
      <w:marLeft w:val="0"/>
      <w:marRight w:val="0"/>
      <w:marTop w:val="0"/>
      <w:marBottom w:val="0"/>
      <w:divBdr>
        <w:top w:val="none" w:sz="0" w:space="0" w:color="auto"/>
        <w:left w:val="none" w:sz="0" w:space="0" w:color="auto"/>
        <w:bottom w:val="none" w:sz="0" w:space="0" w:color="auto"/>
        <w:right w:val="none" w:sz="0" w:space="0" w:color="auto"/>
      </w:divBdr>
    </w:div>
    <w:div w:id="882254142">
      <w:bodyDiv w:val="1"/>
      <w:marLeft w:val="0"/>
      <w:marRight w:val="0"/>
      <w:marTop w:val="0"/>
      <w:marBottom w:val="0"/>
      <w:divBdr>
        <w:top w:val="none" w:sz="0" w:space="0" w:color="auto"/>
        <w:left w:val="none" w:sz="0" w:space="0" w:color="auto"/>
        <w:bottom w:val="none" w:sz="0" w:space="0" w:color="auto"/>
        <w:right w:val="none" w:sz="0" w:space="0" w:color="auto"/>
      </w:divBdr>
    </w:div>
    <w:div w:id="889223803">
      <w:bodyDiv w:val="1"/>
      <w:marLeft w:val="0"/>
      <w:marRight w:val="0"/>
      <w:marTop w:val="0"/>
      <w:marBottom w:val="0"/>
      <w:divBdr>
        <w:top w:val="none" w:sz="0" w:space="0" w:color="auto"/>
        <w:left w:val="none" w:sz="0" w:space="0" w:color="auto"/>
        <w:bottom w:val="none" w:sz="0" w:space="0" w:color="auto"/>
        <w:right w:val="none" w:sz="0" w:space="0" w:color="auto"/>
      </w:divBdr>
    </w:div>
    <w:div w:id="914320795">
      <w:bodyDiv w:val="1"/>
      <w:marLeft w:val="0"/>
      <w:marRight w:val="0"/>
      <w:marTop w:val="0"/>
      <w:marBottom w:val="0"/>
      <w:divBdr>
        <w:top w:val="none" w:sz="0" w:space="0" w:color="auto"/>
        <w:left w:val="none" w:sz="0" w:space="0" w:color="auto"/>
        <w:bottom w:val="none" w:sz="0" w:space="0" w:color="auto"/>
        <w:right w:val="none" w:sz="0" w:space="0" w:color="auto"/>
      </w:divBdr>
    </w:div>
    <w:div w:id="921373367">
      <w:bodyDiv w:val="1"/>
      <w:marLeft w:val="0"/>
      <w:marRight w:val="0"/>
      <w:marTop w:val="0"/>
      <w:marBottom w:val="0"/>
      <w:divBdr>
        <w:top w:val="none" w:sz="0" w:space="0" w:color="auto"/>
        <w:left w:val="none" w:sz="0" w:space="0" w:color="auto"/>
        <w:bottom w:val="none" w:sz="0" w:space="0" w:color="auto"/>
        <w:right w:val="none" w:sz="0" w:space="0" w:color="auto"/>
      </w:divBdr>
    </w:div>
    <w:div w:id="926891393">
      <w:bodyDiv w:val="1"/>
      <w:marLeft w:val="0"/>
      <w:marRight w:val="0"/>
      <w:marTop w:val="0"/>
      <w:marBottom w:val="0"/>
      <w:divBdr>
        <w:top w:val="none" w:sz="0" w:space="0" w:color="auto"/>
        <w:left w:val="none" w:sz="0" w:space="0" w:color="auto"/>
        <w:bottom w:val="none" w:sz="0" w:space="0" w:color="auto"/>
        <w:right w:val="none" w:sz="0" w:space="0" w:color="auto"/>
      </w:divBdr>
    </w:div>
    <w:div w:id="935865496">
      <w:bodyDiv w:val="1"/>
      <w:marLeft w:val="0"/>
      <w:marRight w:val="0"/>
      <w:marTop w:val="0"/>
      <w:marBottom w:val="0"/>
      <w:divBdr>
        <w:top w:val="none" w:sz="0" w:space="0" w:color="auto"/>
        <w:left w:val="none" w:sz="0" w:space="0" w:color="auto"/>
        <w:bottom w:val="none" w:sz="0" w:space="0" w:color="auto"/>
        <w:right w:val="none" w:sz="0" w:space="0" w:color="auto"/>
      </w:divBdr>
    </w:div>
    <w:div w:id="937561094">
      <w:bodyDiv w:val="1"/>
      <w:marLeft w:val="0"/>
      <w:marRight w:val="0"/>
      <w:marTop w:val="0"/>
      <w:marBottom w:val="0"/>
      <w:divBdr>
        <w:top w:val="none" w:sz="0" w:space="0" w:color="auto"/>
        <w:left w:val="none" w:sz="0" w:space="0" w:color="auto"/>
        <w:bottom w:val="none" w:sz="0" w:space="0" w:color="auto"/>
        <w:right w:val="none" w:sz="0" w:space="0" w:color="auto"/>
      </w:divBdr>
    </w:div>
    <w:div w:id="940649592">
      <w:bodyDiv w:val="1"/>
      <w:marLeft w:val="0"/>
      <w:marRight w:val="0"/>
      <w:marTop w:val="0"/>
      <w:marBottom w:val="0"/>
      <w:divBdr>
        <w:top w:val="none" w:sz="0" w:space="0" w:color="auto"/>
        <w:left w:val="none" w:sz="0" w:space="0" w:color="auto"/>
        <w:bottom w:val="none" w:sz="0" w:space="0" w:color="auto"/>
        <w:right w:val="none" w:sz="0" w:space="0" w:color="auto"/>
      </w:divBdr>
    </w:div>
    <w:div w:id="951207978">
      <w:bodyDiv w:val="1"/>
      <w:marLeft w:val="0"/>
      <w:marRight w:val="0"/>
      <w:marTop w:val="0"/>
      <w:marBottom w:val="0"/>
      <w:divBdr>
        <w:top w:val="none" w:sz="0" w:space="0" w:color="auto"/>
        <w:left w:val="none" w:sz="0" w:space="0" w:color="auto"/>
        <w:bottom w:val="none" w:sz="0" w:space="0" w:color="auto"/>
        <w:right w:val="none" w:sz="0" w:space="0" w:color="auto"/>
      </w:divBdr>
    </w:div>
    <w:div w:id="951597210">
      <w:bodyDiv w:val="1"/>
      <w:marLeft w:val="0"/>
      <w:marRight w:val="0"/>
      <w:marTop w:val="0"/>
      <w:marBottom w:val="0"/>
      <w:divBdr>
        <w:top w:val="none" w:sz="0" w:space="0" w:color="auto"/>
        <w:left w:val="none" w:sz="0" w:space="0" w:color="auto"/>
        <w:bottom w:val="none" w:sz="0" w:space="0" w:color="auto"/>
        <w:right w:val="none" w:sz="0" w:space="0" w:color="auto"/>
      </w:divBdr>
    </w:div>
    <w:div w:id="962228490">
      <w:bodyDiv w:val="1"/>
      <w:marLeft w:val="0"/>
      <w:marRight w:val="0"/>
      <w:marTop w:val="0"/>
      <w:marBottom w:val="0"/>
      <w:divBdr>
        <w:top w:val="none" w:sz="0" w:space="0" w:color="auto"/>
        <w:left w:val="none" w:sz="0" w:space="0" w:color="auto"/>
        <w:bottom w:val="none" w:sz="0" w:space="0" w:color="auto"/>
        <w:right w:val="none" w:sz="0" w:space="0" w:color="auto"/>
      </w:divBdr>
    </w:div>
    <w:div w:id="964845903">
      <w:bodyDiv w:val="1"/>
      <w:marLeft w:val="0"/>
      <w:marRight w:val="0"/>
      <w:marTop w:val="0"/>
      <w:marBottom w:val="0"/>
      <w:divBdr>
        <w:top w:val="none" w:sz="0" w:space="0" w:color="auto"/>
        <w:left w:val="none" w:sz="0" w:space="0" w:color="auto"/>
        <w:bottom w:val="none" w:sz="0" w:space="0" w:color="auto"/>
        <w:right w:val="none" w:sz="0" w:space="0" w:color="auto"/>
      </w:divBdr>
    </w:div>
    <w:div w:id="967782752">
      <w:bodyDiv w:val="1"/>
      <w:marLeft w:val="0"/>
      <w:marRight w:val="0"/>
      <w:marTop w:val="0"/>
      <w:marBottom w:val="0"/>
      <w:divBdr>
        <w:top w:val="none" w:sz="0" w:space="0" w:color="auto"/>
        <w:left w:val="none" w:sz="0" w:space="0" w:color="auto"/>
        <w:bottom w:val="none" w:sz="0" w:space="0" w:color="auto"/>
        <w:right w:val="none" w:sz="0" w:space="0" w:color="auto"/>
      </w:divBdr>
    </w:div>
    <w:div w:id="969285841">
      <w:bodyDiv w:val="1"/>
      <w:marLeft w:val="0"/>
      <w:marRight w:val="0"/>
      <w:marTop w:val="0"/>
      <w:marBottom w:val="0"/>
      <w:divBdr>
        <w:top w:val="none" w:sz="0" w:space="0" w:color="auto"/>
        <w:left w:val="none" w:sz="0" w:space="0" w:color="auto"/>
        <w:bottom w:val="none" w:sz="0" w:space="0" w:color="auto"/>
        <w:right w:val="none" w:sz="0" w:space="0" w:color="auto"/>
      </w:divBdr>
    </w:div>
    <w:div w:id="972562434">
      <w:bodyDiv w:val="1"/>
      <w:marLeft w:val="0"/>
      <w:marRight w:val="0"/>
      <w:marTop w:val="0"/>
      <w:marBottom w:val="0"/>
      <w:divBdr>
        <w:top w:val="none" w:sz="0" w:space="0" w:color="auto"/>
        <w:left w:val="none" w:sz="0" w:space="0" w:color="auto"/>
        <w:bottom w:val="none" w:sz="0" w:space="0" w:color="auto"/>
        <w:right w:val="none" w:sz="0" w:space="0" w:color="auto"/>
      </w:divBdr>
    </w:div>
    <w:div w:id="973021650">
      <w:bodyDiv w:val="1"/>
      <w:marLeft w:val="0"/>
      <w:marRight w:val="0"/>
      <w:marTop w:val="0"/>
      <w:marBottom w:val="0"/>
      <w:divBdr>
        <w:top w:val="none" w:sz="0" w:space="0" w:color="auto"/>
        <w:left w:val="none" w:sz="0" w:space="0" w:color="auto"/>
        <w:bottom w:val="none" w:sz="0" w:space="0" w:color="auto"/>
        <w:right w:val="none" w:sz="0" w:space="0" w:color="auto"/>
      </w:divBdr>
    </w:div>
    <w:div w:id="975375037">
      <w:bodyDiv w:val="1"/>
      <w:marLeft w:val="0"/>
      <w:marRight w:val="0"/>
      <w:marTop w:val="0"/>
      <w:marBottom w:val="0"/>
      <w:divBdr>
        <w:top w:val="none" w:sz="0" w:space="0" w:color="auto"/>
        <w:left w:val="none" w:sz="0" w:space="0" w:color="auto"/>
        <w:bottom w:val="none" w:sz="0" w:space="0" w:color="auto"/>
        <w:right w:val="none" w:sz="0" w:space="0" w:color="auto"/>
      </w:divBdr>
    </w:div>
    <w:div w:id="978265939">
      <w:bodyDiv w:val="1"/>
      <w:marLeft w:val="0"/>
      <w:marRight w:val="0"/>
      <w:marTop w:val="0"/>
      <w:marBottom w:val="0"/>
      <w:divBdr>
        <w:top w:val="none" w:sz="0" w:space="0" w:color="auto"/>
        <w:left w:val="none" w:sz="0" w:space="0" w:color="auto"/>
        <w:bottom w:val="none" w:sz="0" w:space="0" w:color="auto"/>
        <w:right w:val="none" w:sz="0" w:space="0" w:color="auto"/>
      </w:divBdr>
    </w:div>
    <w:div w:id="980698175">
      <w:bodyDiv w:val="1"/>
      <w:marLeft w:val="0"/>
      <w:marRight w:val="0"/>
      <w:marTop w:val="0"/>
      <w:marBottom w:val="0"/>
      <w:divBdr>
        <w:top w:val="none" w:sz="0" w:space="0" w:color="auto"/>
        <w:left w:val="none" w:sz="0" w:space="0" w:color="auto"/>
        <w:bottom w:val="none" w:sz="0" w:space="0" w:color="auto"/>
        <w:right w:val="none" w:sz="0" w:space="0" w:color="auto"/>
      </w:divBdr>
    </w:div>
    <w:div w:id="987176180">
      <w:bodyDiv w:val="1"/>
      <w:marLeft w:val="0"/>
      <w:marRight w:val="0"/>
      <w:marTop w:val="0"/>
      <w:marBottom w:val="0"/>
      <w:divBdr>
        <w:top w:val="none" w:sz="0" w:space="0" w:color="auto"/>
        <w:left w:val="none" w:sz="0" w:space="0" w:color="auto"/>
        <w:bottom w:val="none" w:sz="0" w:space="0" w:color="auto"/>
        <w:right w:val="none" w:sz="0" w:space="0" w:color="auto"/>
      </w:divBdr>
    </w:div>
    <w:div w:id="990216105">
      <w:bodyDiv w:val="1"/>
      <w:marLeft w:val="0"/>
      <w:marRight w:val="0"/>
      <w:marTop w:val="0"/>
      <w:marBottom w:val="0"/>
      <w:divBdr>
        <w:top w:val="none" w:sz="0" w:space="0" w:color="auto"/>
        <w:left w:val="none" w:sz="0" w:space="0" w:color="auto"/>
        <w:bottom w:val="none" w:sz="0" w:space="0" w:color="auto"/>
        <w:right w:val="none" w:sz="0" w:space="0" w:color="auto"/>
      </w:divBdr>
    </w:div>
    <w:div w:id="996037833">
      <w:bodyDiv w:val="1"/>
      <w:marLeft w:val="0"/>
      <w:marRight w:val="0"/>
      <w:marTop w:val="0"/>
      <w:marBottom w:val="0"/>
      <w:divBdr>
        <w:top w:val="none" w:sz="0" w:space="0" w:color="auto"/>
        <w:left w:val="none" w:sz="0" w:space="0" w:color="auto"/>
        <w:bottom w:val="none" w:sz="0" w:space="0" w:color="auto"/>
        <w:right w:val="none" w:sz="0" w:space="0" w:color="auto"/>
      </w:divBdr>
    </w:div>
    <w:div w:id="1003702201">
      <w:bodyDiv w:val="1"/>
      <w:marLeft w:val="0"/>
      <w:marRight w:val="0"/>
      <w:marTop w:val="0"/>
      <w:marBottom w:val="0"/>
      <w:divBdr>
        <w:top w:val="none" w:sz="0" w:space="0" w:color="auto"/>
        <w:left w:val="none" w:sz="0" w:space="0" w:color="auto"/>
        <w:bottom w:val="none" w:sz="0" w:space="0" w:color="auto"/>
        <w:right w:val="none" w:sz="0" w:space="0" w:color="auto"/>
      </w:divBdr>
    </w:div>
    <w:div w:id="1007291838">
      <w:bodyDiv w:val="1"/>
      <w:marLeft w:val="0"/>
      <w:marRight w:val="0"/>
      <w:marTop w:val="0"/>
      <w:marBottom w:val="0"/>
      <w:divBdr>
        <w:top w:val="none" w:sz="0" w:space="0" w:color="auto"/>
        <w:left w:val="none" w:sz="0" w:space="0" w:color="auto"/>
        <w:bottom w:val="none" w:sz="0" w:space="0" w:color="auto"/>
        <w:right w:val="none" w:sz="0" w:space="0" w:color="auto"/>
      </w:divBdr>
    </w:div>
    <w:div w:id="1007832442">
      <w:bodyDiv w:val="1"/>
      <w:marLeft w:val="0"/>
      <w:marRight w:val="0"/>
      <w:marTop w:val="0"/>
      <w:marBottom w:val="0"/>
      <w:divBdr>
        <w:top w:val="none" w:sz="0" w:space="0" w:color="auto"/>
        <w:left w:val="none" w:sz="0" w:space="0" w:color="auto"/>
        <w:bottom w:val="none" w:sz="0" w:space="0" w:color="auto"/>
        <w:right w:val="none" w:sz="0" w:space="0" w:color="auto"/>
      </w:divBdr>
    </w:div>
    <w:div w:id="1009451102">
      <w:bodyDiv w:val="1"/>
      <w:marLeft w:val="0"/>
      <w:marRight w:val="0"/>
      <w:marTop w:val="0"/>
      <w:marBottom w:val="0"/>
      <w:divBdr>
        <w:top w:val="none" w:sz="0" w:space="0" w:color="auto"/>
        <w:left w:val="none" w:sz="0" w:space="0" w:color="auto"/>
        <w:bottom w:val="none" w:sz="0" w:space="0" w:color="auto"/>
        <w:right w:val="none" w:sz="0" w:space="0" w:color="auto"/>
      </w:divBdr>
    </w:div>
    <w:div w:id="1009675835">
      <w:bodyDiv w:val="1"/>
      <w:marLeft w:val="0"/>
      <w:marRight w:val="0"/>
      <w:marTop w:val="0"/>
      <w:marBottom w:val="0"/>
      <w:divBdr>
        <w:top w:val="none" w:sz="0" w:space="0" w:color="auto"/>
        <w:left w:val="none" w:sz="0" w:space="0" w:color="auto"/>
        <w:bottom w:val="none" w:sz="0" w:space="0" w:color="auto"/>
        <w:right w:val="none" w:sz="0" w:space="0" w:color="auto"/>
      </w:divBdr>
    </w:div>
    <w:div w:id="1013266045">
      <w:bodyDiv w:val="1"/>
      <w:marLeft w:val="0"/>
      <w:marRight w:val="0"/>
      <w:marTop w:val="0"/>
      <w:marBottom w:val="0"/>
      <w:divBdr>
        <w:top w:val="none" w:sz="0" w:space="0" w:color="auto"/>
        <w:left w:val="none" w:sz="0" w:space="0" w:color="auto"/>
        <w:bottom w:val="none" w:sz="0" w:space="0" w:color="auto"/>
        <w:right w:val="none" w:sz="0" w:space="0" w:color="auto"/>
      </w:divBdr>
    </w:div>
    <w:div w:id="1018888895">
      <w:bodyDiv w:val="1"/>
      <w:marLeft w:val="0"/>
      <w:marRight w:val="0"/>
      <w:marTop w:val="0"/>
      <w:marBottom w:val="0"/>
      <w:divBdr>
        <w:top w:val="none" w:sz="0" w:space="0" w:color="auto"/>
        <w:left w:val="none" w:sz="0" w:space="0" w:color="auto"/>
        <w:bottom w:val="none" w:sz="0" w:space="0" w:color="auto"/>
        <w:right w:val="none" w:sz="0" w:space="0" w:color="auto"/>
      </w:divBdr>
    </w:div>
    <w:div w:id="1021198585">
      <w:bodyDiv w:val="1"/>
      <w:marLeft w:val="0"/>
      <w:marRight w:val="0"/>
      <w:marTop w:val="0"/>
      <w:marBottom w:val="0"/>
      <w:divBdr>
        <w:top w:val="none" w:sz="0" w:space="0" w:color="auto"/>
        <w:left w:val="none" w:sz="0" w:space="0" w:color="auto"/>
        <w:bottom w:val="none" w:sz="0" w:space="0" w:color="auto"/>
        <w:right w:val="none" w:sz="0" w:space="0" w:color="auto"/>
      </w:divBdr>
    </w:div>
    <w:div w:id="1029064405">
      <w:bodyDiv w:val="1"/>
      <w:marLeft w:val="0"/>
      <w:marRight w:val="0"/>
      <w:marTop w:val="0"/>
      <w:marBottom w:val="0"/>
      <w:divBdr>
        <w:top w:val="none" w:sz="0" w:space="0" w:color="auto"/>
        <w:left w:val="none" w:sz="0" w:space="0" w:color="auto"/>
        <w:bottom w:val="none" w:sz="0" w:space="0" w:color="auto"/>
        <w:right w:val="none" w:sz="0" w:space="0" w:color="auto"/>
      </w:divBdr>
    </w:div>
    <w:div w:id="1029263932">
      <w:bodyDiv w:val="1"/>
      <w:marLeft w:val="0"/>
      <w:marRight w:val="0"/>
      <w:marTop w:val="0"/>
      <w:marBottom w:val="0"/>
      <w:divBdr>
        <w:top w:val="none" w:sz="0" w:space="0" w:color="auto"/>
        <w:left w:val="none" w:sz="0" w:space="0" w:color="auto"/>
        <w:bottom w:val="none" w:sz="0" w:space="0" w:color="auto"/>
        <w:right w:val="none" w:sz="0" w:space="0" w:color="auto"/>
      </w:divBdr>
    </w:div>
    <w:div w:id="1030258171">
      <w:bodyDiv w:val="1"/>
      <w:marLeft w:val="0"/>
      <w:marRight w:val="0"/>
      <w:marTop w:val="0"/>
      <w:marBottom w:val="0"/>
      <w:divBdr>
        <w:top w:val="none" w:sz="0" w:space="0" w:color="auto"/>
        <w:left w:val="none" w:sz="0" w:space="0" w:color="auto"/>
        <w:bottom w:val="none" w:sz="0" w:space="0" w:color="auto"/>
        <w:right w:val="none" w:sz="0" w:space="0" w:color="auto"/>
      </w:divBdr>
    </w:div>
    <w:div w:id="1034767404">
      <w:bodyDiv w:val="1"/>
      <w:marLeft w:val="0"/>
      <w:marRight w:val="0"/>
      <w:marTop w:val="0"/>
      <w:marBottom w:val="0"/>
      <w:divBdr>
        <w:top w:val="none" w:sz="0" w:space="0" w:color="auto"/>
        <w:left w:val="none" w:sz="0" w:space="0" w:color="auto"/>
        <w:bottom w:val="none" w:sz="0" w:space="0" w:color="auto"/>
        <w:right w:val="none" w:sz="0" w:space="0" w:color="auto"/>
      </w:divBdr>
    </w:div>
    <w:div w:id="1041980439">
      <w:bodyDiv w:val="1"/>
      <w:marLeft w:val="0"/>
      <w:marRight w:val="0"/>
      <w:marTop w:val="0"/>
      <w:marBottom w:val="0"/>
      <w:divBdr>
        <w:top w:val="none" w:sz="0" w:space="0" w:color="auto"/>
        <w:left w:val="none" w:sz="0" w:space="0" w:color="auto"/>
        <w:bottom w:val="none" w:sz="0" w:space="0" w:color="auto"/>
        <w:right w:val="none" w:sz="0" w:space="0" w:color="auto"/>
      </w:divBdr>
    </w:div>
    <w:div w:id="1043678582">
      <w:bodyDiv w:val="1"/>
      <w:marLeft w:val="0"/>
      <w:marRight w:val="0"/>
      <w:marTop w:val="0"/>
      <w:marBottom w:val="0"/>
      <w:divBdr>
        <w:top w:val="none" w:sz="0" w:space="0" w:color="auto"/>
        <w:left w:val="none" w:sz="0" w:space="0" w:color="auto"/>
        <w:bottom w:val="none" w:sz="0" w:space="0" w:color="auto"/>
        <w:right w:val="none" w:sz="0" w:space="0" w:color="auto"/>
      </w:divBdr>
    </w:div>
    <w:div w:id="1049185379">
      <w:bodyDiv w:val="1"/>
      <w:marLeft w:val="0"/>
      <w:marRight w:val="0"/>
      <w:marTop w:val="0"/>
      <w:marBottom w:val="0"/>
      <w:divBdr>
        <w:top w:val="none" w:sz="0" w:space="0" w:color="auto"/>
        <w:left w:val="none" w:sz="0" w:space="0" w:color="auto"/>
        <w:bottom w:val="none" w:sz="0" w:space="0" w:color="auto"/>
        <w:right w:val="none" w:sz="0" w:space="0" w:color="auto"/>
      </w:divBdr>
    </w:div>
    <w:div w:id="1054155887">
      <w:bodyDiv w:val="1"/>
      <w:marLeft w:val="0"/>
      <w:marRight w:val="0"/>
      <w:marTop w:val="0"/>
      <w:marBottom w:val="0"/>
      <w:divBdr>
        <w:top w:val="none" w:sz="0" w:space="0" w:color="auto"/>
        <w:left w:val="none" w:sz="0" w:space="0" w:color="auto"/>
        <w:bottom w:val="none" w:sz="0" w:space="0" w:color="auto"/>
        <w:right w:val="none" w:sz="0" w:space="0" w:color="auto"/>
      </w:divBdr>
    </w:div>
    <w:div w:id="1057167332">
      <w:bodyDiv w:val="1"/>
      <w:marLeft w:val="0"/>
      <w:marRight w:val="0"/>
      <w:marTop w:val="0"/>
      <w:marBottom w:val="0"/>
      <w:divBdr>
        <w:top w:val="none" w:sz="0" w:space="0" w:color="auto"/>
        <w:left w:val="none" w:sz="0" w:space="0" w:color="auto"/>
        <w:bottom w:val="none" w:sz="0" w:space="0" w:color="auto"/>
        <w:right w:val="none" w:sz="0" w:space="0" w:color="auto"/>
      </w:divBdr>
    </w:div>
    <w:div w:id="1059550837">
      <w:bodyDiv w:val="1"/>
      <w:marLeft w:val="0"/>
      <w:marRight w:val="0"/>
      <w:marTop w:val="0"/>
      <w:marBottom w:val="0"/>
      <w:divBdr>
        <w:top w:val="none" w:sz="0" w:space="0" w:color="auto"/>
        <w:left w:val="none" w:sz="0" w:space="0" w:color="auto"/>
        <w:bottom w:val="none" w:sz="0" w:space="0" w:color="auto"/>
        <w:right w:val="none" w:sz="0" w:space="0" w:color="auto"/>
      </w:divBdr>
    </w:div>
    <w:div w:id="1067531892">
      <w:bodyDiv w:val="1"/>
      <w:marLeft w:val="0"/>
      <w:marRight w:val="0"/>
      <w:marTop w:val="0"/>
      <w:marBottom w:val="0"/>
      <w:divBdr>
        <w:top w:val="none" w:sz="0" w:space="0" w:color="auto"/>
        <w:left w:val="none" w:sz="0" w:space="0" w:color="auto"/>
        <w:bottom w:val="none" w:sz="0" w:space="0" w:color="auto"/>
        <w:right w:val="none" w:sz="0" w:space="0" w:color="auto"/>
      </w:divBdr>
      <w:divsChild>
        <w:div w:id="1185094656">
          <w:marLeft w:val="0"/>
          <w:marRight w:val="0"/>
          <w:marTop w:val="0"/>
          <w:marBottom w:val="0"/>
          <w:divBdr>
            <w:top w:val="none" w:sz="0" w:space="0" w:color="auto"/>
            <w:left w:val="none" w:sz="0" w:space="0" w:color="auto"/>
            <w:bottom w:val="none" w:sz="0" w:space="0" w:color="auto"/>
            <w:right w:val="none" w:sz="0" w:space="0" w:color="auto"/>
          </w:divBdr>
          <w:divsChild>
            <w:div w:id="337080540">
              <w:marLeft w:val="0"/>
              <w:marRight w:val="0"/>
              <w:marTop w:val="0"/>
              <w:marBottom w:val="0"/>
              <w:divBdr>
                <w:top w:val="none" w:sz="0" w:space="0" w:color="auto"/>
                <w:left w:val="none" w:sz="0" w:space="0" w:color="auto"/>
                <w:bottom w:val="none" w:sz="0" w:space="0" w:color="auto"/>
                <w:right w:val="none" w:sz="0" w:space="0" w:color="auto"/>
              </w:divBdr>
              <w:divsChild>
                <w:div w:id="76396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738495">
      <w:bodyDiv w:val="1"/>
      <w:marLeft w:val="0"/>
      <w:marRight w:val="0"/>
      <w:marTop w:val="0"/>
      <w:marBottom w:val="0"/>
      <w:divBdr>
        <w:top w:val="none" w:sz="0" w:space="0" w:color="auto"/>
        <w:left w:val="none" w:sz="0" w:space="0" w:color="auto"/>
        <w:bottom w:val="none" w:sz="0" w:space="0" w:color="auto"/>
        <w:right w:val="none" w:sz="0" w:space="0" w:color="auto"/>
      </w:divBdr>
    </w:div>
    <w:div w:id="1082021499">
      <w:bodyDiv w:val="1"/>
      <w:marLeft w:val="0"/>
      <w:marRight w:val="0"/>
      <w:marTop w:val="0"/>
      <w:marBottom w:val="0"/>
      <w:divBdr>
        <w:top w:val="none" w:sz="0" w:space="0" w:color="auto"/>
        <w:left w:val="none" w:sz="0" w:space="0" w:color="auto"/>
        <w:bottom w:val="none" w:sz="0" w:space="0" w:color="auto"/>
        <w:right w:val="none" w:sz="0" w:space="0" w:color="auto"/>
      </w:divBdr>
    </w:div>
    <w:div w:id="1083449671">
      <w:bodyDiv w:val="1"/>
      <w:marLeft w:val="0"/>
      <w:marRight w:val="0"/>
      <w:marTop w:val="0"/>
      <w:marBottom w:val="0"/>
      <w:divBdr>
        <w:top w:val="none" w:sz="0" w:space="0" w:color="auto"/>
        <w:left w:val="none" w:sz="0" w:space="0" w:color="auto"/>
        <w:bottom w:val="none" w:sz="0" w:space="0" w:color="auto"/>
        <w:right w:val="none" w:sz="0" w:space="0" w:color="auto"/>
      </w:divBdr>
    </w:div>
    <w:div w:id="1084372990">
      <w:bodyDiv w:val="1"/>
      <w:marLeft w:val="0"/>
      <w:marRight w:val="0"/>
      <w:marTop w:val="0"/>
      <w:marBottom w:val="0"/>
      <w:divBdr>
        <w:top w:val="none" w:sz="0" w:space="0" w:color="auto"/>
        <w:left w:val="none" w:sz="0" w:space="0" w:color="auto"/>
        <w:bottom w:val="none" w:sz="0" w:space="0" w:color="auto"/>
        <w:right w:val="none" w:sz="0" w:space="0" w:color="auto"/>
      </w:divBdr>
    </w:div>
    <w:div w:id="1091202761">
      <w:bodyDiv w:val="1"/>
      <w:marLeft w:val="0"/>
      <w:marRight w:val="0"/>
      <w:marTop w:val="0"/>
      <w:marBottom w:val="0"/>
      <w:divBdr>
        <w:top w:val="none" w:sz="0" w:space="0" w:color="auto"/>
        <w:left w:val="none" w:sz="0" w:space="0" w:color="auto"/>
        <w:bottom w:val="none" w:sz="0" w:space="0" w:color="auto"/>
        <w:right w:val="none" w:sz="0" w:space="0" w:color="auto"/>
      </w:divBdr>
    </w:div>
    <w:div w:id="1098449917">
      <w:bodyDiv w:val="1"/>
      <w:marLeft w:val="0"/>
      <w:marRight w:val="0"/>
      <w:marTop w:val="0"/>
      <w:marBottom w:val="0"/>
      <w:divBdr>
        <w:top w:val="none" w:sz="0" w:space="0" w:color="auto"/>
        <w:left w:val="none" w:sz="0" w:space="0" w:color="auto"/>
        <w:bottom w:val="none" w:sz="0" w:space="0" w:color="auto"/>
        <w:right w:val="none" w:sz="0" w:space="0" w:color="auto"/>
      </w:divBdr>
    </w:div>
    <w:div w:id="1098596426">
      <w:bodyDiv w:val="1"/>
      <w:marLeft w:val="0"/>
      <w:marRight w:val="0"/>
      <w:marTop w:val="0"/>
      <w:marBottom w:val="0"/>
      <w:divBdr>
        <w:top w:val="none" w:sz="0" w:space="0" w:color="auto"/>
        <w:left w:val="none" w:sz="0" w:space="0" w:color="auto"/>
        <w:bottom w:val="none" w:sz="0" w:space="0" w:color="auto"/>
        <w:right w:val="none" w:sz="0" w:space="0" w:color="auto"/>
      </w:divBdr>
    </w:div>
    <w:div w:id="1118187011">
      <w:bodyDiv w:val="1"/>
      <w:marLeft w:val="0"/>
      <w:marRight w:val="0"/>
      <w:marTop w:val="0"/>
      <w:marBottom w:val="0"/>
      <w:divBdr>
        <w:top w:val="none" w:sz="0" w:space="0" w:color="auto"/>
        <w:left w:val="none" w:sz="0" w:space="0" w:color="auto"/>
        <w:bottom w:val="none" w:sz="0" w:space="0" w:color="auto"/>
        <w:right w:val="none" w:sz="0" w:space="0" w:color="auto"/>
      </w:divBdr>
    </w:div>
    <w:div w:id="1120147122">
      <w:bodyDiv w:val="1"/>
      <w:marLeft w:val="0"/>
      <w:marRight w:val="0"/>
      <w:marTop w:val="0"/>
      <w:marBottom w:val="0"/>
      <w:divBdr>
        <w:top w:val="none" w:sz="0" w:space="0" w:color="auto"/>
        <w:left w:val="none" w:sz="0" w:space="0" w:color="auto"/>
        <w:bottom w:val="none" w:sz="0" w:space="0" w:color="auto"/>
        <w:right w:val="none" w:sz="0" w:space="0" w:color="auto"/>
      </w:divBdr>
    </w:div>
    <w:div w:id="1120563227">
      <w:bodyDiv w:val="1"/>
      <w:marLeft w:val="0"/>
      <w:marRight w:val="0"/>
      <w:marTop w:val="0"/>
      <w:marBottom w:val="0"/>
      <w:divBdr>
        <w:top w:val="none" w:sz="0" w:space="0" w:color="auto"/>
        <w:left w:val="none" w:sz="0" w:space="0" w:color="auto"/>
        <w:bottom w:val="none" w:sz="0" w:space="0" w:color="auto"/>
        <w:right w:val="none" w:sz="0" w:space="0" w:color="auto"/>
      </w:divBdr>
    </w:div>
    <w:div w:id="1139957301">
      <w:bodyDiv w:val="1"/>
      <w:marLeft w:val="0"/>
      <w:marRight w:val="0"/>
      <w:marTop w:val="0"/>
      <w:marBottom w:val="0"/>
      <w:divBdr>
        <w:top w:val="none" w:sz="0" w:space="0" w:color="auto"/>
        <w:left w:val="none" w:sz="0" w:space="0" w:color="auto"/>
        <w:bottom w:val="none" w:sz="0" w:space="0" w:color="auto"/>
        <w:right w:val="none" w:sz="0" w:space="0" w:color="auto"/>
      </w:divBdr>
    </w:div>
    <w:div w:id="1141192754">
      <w:bodyDiv w:val="1"/>
      <w:marLeft w:val="0"/>
      <w:marRight w:val="0"/>
      <w:marTop w:val="0"/>
      <w:marBottom w:val="0"/>
      <w:divBdr>
        <w:top w:val="none" w:sz="0" w:space="0" w:color="auto"/>
        <w:left w:val="none" w:sz="0" w:space="0" w:color="auto"/>
        <w:bottom w:val="none" w:sz="0" w:space="0" w:color="auto"/>
        <w:right w:val="none" w:sz="0" w:space="0" w:color="auto"/>
      </w:divBdr>
    </w:div>
    <w:div w:id="1147355284">
      <w:bodyDiv w:val="1"/>
      <w:marLeft w:val="0"/>
      <w:marRight w:val="0"/>
      <w:marTop w:val="0"/>
      <w:marBottom w:val="0"/>
      <w:divBdr>
        <w:top w:val="none" w:sz="0" w:space="0" w:color="auto"/>
        <w:left w:val="none" w:sz="0" w:space="0" w:color="auto"/>
        <w:bottom w:val="none" w:sz="0" w:space="0" w:color="auto"/>
        <w:right w:val="none" w:sz="0" w:space="0" w:color="auto"/>
      </w:divBdr>
    </w:div>
    <w:div w:id="1152982681">
      <w:bodyDiv w:val="1"/>
      <w:marLeft w:val="0"/>
      <w:marRight w:val="0"/>
      <w:marTop w:val="0"/>
      <w:marBottom w:val="0"/>
      <w:divBdr>
        <w:top w:val="none" w:sz="0" w:space="0" w:color="auto"/>
        <w:left w:val="none" w:sz="0" w:space="0" w:color="auto"/>
        <w:bottom w:val="none" w:sz="0" w:space="0" w:color="auto"/>
        <w:right w:val="none" w:sz="0" w:space="0" w:color="auto"/>
      </w:divBdr>
    </w:div>
    <w:div w:id="1159150654">
      <w:bodyDiv w:val="1"/>
      <w:marLeft w:val="0"/>
      <w:marRight w:val="0"/>
      <w:marTop w:val="0"/>
      <w:marBottom w:val="0"/>
      <w:divBdr>
        <w:top w:val="none" w:sz="0" w:space="0" w:color="auto"/>
        <w:left w:val="none" w:sz="0" w:space="0" w:color="auto"/>
        <w:bottom w:val="none" w:sz="0" w:space="0" w:color="auto"/>
        <w:right w:val="none" w:sz="0" w:space="0" w:color="auto"/>
      </w:divBdr>
    </w:div>
    <w:div w:id="1164591161">
      <w:bodyDiv w:val="1"/>
      <w:marLeft w:val="0"/>
      <w:marRight w:val="0"/>
      <w:marTop w:val="0"/>
      <w:marBottom w:val="0"/>
      <w:divBdr>
        <w:top w:val="none" w:sz="0" w:space="0" w:color="auto"/>
        <w:left w:val="none" w:sz="0" w:space="0" w:color="auto"/>
        <w:bottom w:val="none" w:sz="0" w:space="0" w:color="auto"/>
        <w:right w:val="none" w:sz="0" w:space="0" w:color="auto"/>
      </w:divBdr>
    </w:div>
    <w:div w:id="1165365244">
      <w:bodyDiv w:val="1"/>
      <w:marLeft w:val="0"/>
      <w:marRight w:val="0"/>
      <w:marTop w:val="0"/>
      <w:marBottom w:val="0"/>
      <w:divBdr>
        <w:top w:val="none" w:sz="0" w:space="0" w:color="auto"/>
        <w:left w:val="none" w:sz="0" w:space="0" w:color="auto"/>
        <w:bottom w:val="none" w:sz="0" w:space="0" w:color="auto"/>
        <w:right w:val="none" w:sz="0" w:space="0" w:color="auto"/>
      </w:divBdr>
    </w:div>
    <w:div w:id="1166164103">
      <w:bodyDiv w:val="1"/>
      <w:marLeft w:val="0"/>
      <w:marRight w:val="0"/>
      <w:marTop w:val="0"/>
      <w:marBottom w:val="0"/>
      <w:divBdr>
        <w:top w:val="none" w:sz="0" w:space="0" w:color="auto"/>
        <w:left w:val="none" w:sz="0" w:space="0" w:color="auto"/>
        <w:bottom w:val="none" w:sz="0" w:space="0" w:color="auto"/>
        <w:right w:val="none" w:sz="0" w:space="0" w:color="auto"/>
      </w:divBdr>
    </w:div>
    <w:div w:id="1172137829">
      <w:bodyDiv w:val="1"/>
      <w:marLeft w:val="0"/>
      <w:marRight w:val="0"/>
      <w:marTop w:val="0"/>
      <w:marBottom w:val="0"/>
      <w:divBdr>
        <w:top w:val="none" w:sz="0" w:space="0" w:color="auto"/>
        <w:left w:val="none" w:sz="0" w:space="0" w:color="auto"/>
        <w:bottom w:val="none" w:sz="0" w:space="0" w:color="auto"/>
        <w:right w:val="none" w:sz="0" w:space="0" w:color="auto"/>
      </w:divBdr>
    </w:div>
    <w:div w:id="1176841854">
      <w:bodyDiv w:val="1"/>
      <w:marLeft w:val="0"/>
      <w:marRight w:val="0"/>
      <w:marTop w:val="0"/>
      <w:marBottom w:val="0"/>
      <w:divBdr>
        <w:top w:val="none" w:sz="0" w:space="0" w:color="auto"/>
        <w:left w:val="none" w:sz="0" w:space="0" w:color="auto"/>
        <w:bottom w:val="none" w:sz="0" w:space="0" w:color="auto"/>
        <w:right w:val="none" w:sz="0" w:space="0" w:color="auto"/>
      </w:divBdr>
    </w:div>
    <w:div w:id="1184241942">
      <w:bodyDiv w:val="1"/>
      <w:marLeft w:val="0"/>
      <w:marRight w:val="0"/>
      <w:marTop w:val="0"/>
      <w:marBottom w:val="0"/>
      <w:divBdr>
        <w:top w:val="none" w:sz="0" w:space="0" w:color="auto"/>
        <w:left w:val="none" w:sz="0" w:space="0" w:color="auto"/>
        <w:bottom w:val="none" w:sz="0" w:space="0" w:color="auto"/>
        <w:right w:val="none" w:sz="0" w:space="0" w:color="auto"/>
      </w:divBdr>
    </w:div>
    <w:div w:id="1201088133">
      <w:bodyDiv w:val="1"/>
      <w:marLeft w:val="0"/>
      <w:marRight w:val="0"/>
      <w:marTop w:val="0"/>
      <w:marBottom w:val="0"/>
      <w:divBdr>
        <w:top w:val="none" w:sz="0" w:space="0" w:color="auto"/>
        <w:left w:val="none" w:sz="0" w:space="0" w:color="auto"/>
        <w:bottom w:val="none" w:sz="0" w:space="0" w:color="auto"/>
        <w:right w:val="none" w:sz="0" w:space="0" w:color="auto"/>
      </w:divBdr>
    </w:div>
    <w:div w:id="1203903496">
      <w:bodyDiv w:val="1"/>
      <w:marLeft w:val="0"/>
      <w:marRight w:val="0"/>
      <w:marTop w:val="0"/>
      <w:marBottom w:val="0"/>
      <w:divBdr>
        <w:top w:val="none" w:sz="0" w:space="0" w:color="auto"/>
        <w:left w:val="none" w:sz="0" w:space="0" w:color="auto"/>
        <w:bottom w:val="none" w:sz="0" w:space="0" w:color="auto"/>
        <w:right w:val="none" w:sz="0" w:space="0" w:color="auto"/>
      </w:divBdr>
    </w:div>
    <w:div w:id="1208641125">
      <w:bodyDiv w:val="1"/>
      <w:marLeft w:val="0"/>
      <w:marRight w:val="0"/>
      <w:marTop w:val="0"/>
      <w:marBottom w:val="0"/>
      <w:divBdr>
        <w:top w:val="none" w:sz="0" w:space="0" w:color="auto"/>
        <w:left w:val="none" w:sz="0" w:space="0" w:color="auto"/>
        <w:bottom w:val="none" w:sz="0" w:space="0" w:color="auto"/>
        <w:right w:val="none" w:sz="0" w:space="0" w:color="auto"/>
      </w:divBdr>
    </w:div>
    <w:div w:id="1208644878">
      <w:bodyDiv w:val="1"/>
      <w:marLeft w:val="0"/>
      <w:marRight w:val="0"/>
      <w:marTop w:val="0"/>
      <w:marBottom w:val="0"/>
      <w:divBdr>
        <w:top w:val="none" w:sz="0" w:space="0" w:color="auto"/>
        <w:left w:val="none" w:sz="0" w:space="0" w:color="auto"/>
        <w:bottom w:val="none" w:sz="0" w:space="0" w:color="auto"/>
        <w:right w:val="none" w:sz="0" w:space="0" w:color="auto"/>
      </w:divBdr>
    </w:div>
    <w:div w:id="1210798764">
      <w:bodyDiv w:val="1"/>
      <w:marLeft w:val="0"/>
      <w:marRight w:val="0"/>
      <w:marTop w:val="0"/>
      <w:marBottom w:val="0"/>
      <w:divBdr>
        <w:top w:val="none" w:sz="0" w:space="0" w:color="auto"/>
        <w:left w:val="none" w:sz="0" w:space="0" w:color="auto"/>
        <w:bottom w:val="none" w:sz="0" w:space="0" w:color="auto"/>
        <w:right w:val="none" w:sz="0" w:space="0" w:color="auto"/>
      </w:divBdr>
    </w:div>
    <w:div w:id="1213035948">
      <w:bodyDiv w:val="1"/>
      <w:marLeft w:val="0"/>
      <w:marRight w:val="0"/>
      <w:marTop w:val="0"/>
      <w:marBottom w:val="0"/>
      <w:divBdr>
        <w:top w:val="none" w:sz="0" w:space="0" w:color="auto"/>
        <w:left w:val="none" w:sz="0" w:space="0" w:color="auto"/>
        <w:bottom w:val="none" w:sz="0" w:space="0" w:color="auto"/>
        <w:right w:val="none" w:sz="0" w:space="0" w:color="auto"/>
      </w:divBdr>
    </w:div>
    <w:div w:id="1218319546">
      <w:bodyDiv w:val="1"/>
      <w:marLeft w:val="0"/>
      <w:marRight w:val="0"/>
      <w:marTop w:val="0"/>
      <w:marBottom w:val="0"/>
      <w:divBdr>
        <w:top w:val="none" w:sz="0" w:space="0" w:color="auto"/>
        <w:left w:val="none" w:sz="0" w:space="0" w:color="auto"/>
        <w:bottom w:val="none" w:sz="0" w:space="0" w:color="auto"/>
        <w:right w:val="none" w:sz="0" w:space="0" w:color="auto"/>
      </w:divBdr>
    </w:div>
    <w:div w:id="1219629895">
      <w:bodyDiv w:val="1"/>
      <w:marLeft w:val="0"/>
      <w:marRight w:val="0"/>
      <w:marTop w:val="0"/>
      <w:marBottom w:val="0"/>
      <w:divBdr>
        <w:top w:val="none" w:sz="0" w:space="0" w:color="auto"/>
        <w:left w:val="none" w:sz="0" w:space="0" w:color="auto"/>
        <w:bottom w:val="none" w:sz="0" w:space="0" w:color="auto"/>
        <w:right w:val="none" w:sz="0" w:space="0" w:color="auto"/>
      </w:divBdr>
    </w:div>
    <w:div w:id="1220021492">
      <w:bodyDiv w:val="1"/>
      <w:marLeft w:val="0"/>
      <w:marRight w:val="0"/>
      <w:marTop w:val="0"/>
      <w:marBottom w:val="0"/>
      <w:divBdr>
        <w:top w:val="none" w:sz="0" w:space="0" w:color="auto"/>
        <w:left w:val="none" w:sz="0" w:space="0" w:color="auto"/>
        <w:bottom w:val="none" w:sz="0" w:space="0" w:color="auto"/>
        <w:right w:val="none" w:sz="0" w:space="0" w:color="auto"/>
      </w:divBdr>
    </w:div>
    <w:div w:id="1222054846">
      <w:bodyDiv w:val="1"/>
      <w:marLeft w:val="0"/>
      <w:marRight w:val="0"/>
      <w:marTop w:val="0"/>
      <w:marBottom w:val="0"/>
      <w:divBdr>
        <w:top w:val="none" w:sz="0" w:space="0" w:color="auto"/>
        <w:left w:val="none" w:sz="0" w:space="0" w:color="auto"/>
        <w:bottom w:val="none" w:sz="0" w:space="0" w:color="auto"/>
        <w:right w:val="none" w:sz="0" w:space="0" w:color="auto"/>
      </w:divBdr>
    </w:div>
    <w:div w:id="1230579317">
      <w:bodyDiv w:val="1"/>
      <w:marLeft w:val="0"/>
      <w:marRight w:val="0"/>
      <w:marTop w:val="0"/>
      <w:marBottom w:val="0"/>
      <w:divBdr>
        <w:top w:val="none" w:sz="0" w:space="0" w:color="auto"/>
        <w:left w:val="none" w:sz="0" w:space="0" w:color="auto"/>
        <w:bottom w:val="none" w:sz="0" w:space="0" w:color="auto"/>
        <w:right w:val="none" w:sz="0" w:space="0" w:color="auto"/>
      </w:divBdr>
    </w:div>
    <w:div w:id="1231650293">
      <w:bodyDiv w:val="1"/>
      <w:marLeft w:val="0"/>
      <w:marRight w:val="0"/>
      <w:marTop w:val="0"/>
      <w:marBottom w:val="0"/>
      <w:divBdr>
        <w:top w:val="none" w:sz="0" w:space="0" w:color="auto"/>
        <w:left w:val="none" w:sz="0" w:space="0" w:color="auto"/>
        <w:bottom w:val="none" w:sz="0" w:space="0" w:color="auto"/>
        <w:right w:val="none" w:sz="0" w:space="0" w:color="auto"/>
      </w:divBdr>
    </w:div>
    <w:div w:id="1242373705">
      <w:bodyDiv w:val="1"/>
      <w:marLeft w:val="0"/>
      <w:marRight w:val="0"/>
      <w:marTop w:val="0"/>
      <w:marBottom w:val="0"/>
      <w:divBdr>
        <w:top w:val="none" w:sz="0" w:space="0" w:color="auto"/>
        <w:left w:val="none" w:sz="0" w:space="0" w:color="auto"/>
        <w:bottom w:val="none" w:sz="0" w:space="0" w:color="auto"/>
        <w:right w:val="none" w:sz="0" w:space="0" w:color="auto"/>
      </w:divBdr>
    </w:div>
    <w:div w:id="1245605631">
      <w:bodyDiv w:val="1"/>
      <w:marLeft w:val="0"/>
      <w:marRight w:val="0"/>
      <w:marTop w:val="0"/>
      <w:marBottom w:val="0"/>
      <w:divBdr>
        <w:top w:val="none" w:sz="0" w:space="0" w:color="auto"/>
        <w:left w:val="none" w:sz="0" w:space="0" w:color="auto"/>
        <w:bottom w:val="none" w:sz="0" w:space="0" w:color="auto"/>
        <w:right w:val="none" w:sz="0" w:space="0" w:color="auto"/>
      </w:divBdr>
    </w:div>
    <w:div w:id="1260793339">
      <w:bodyDiv w:val="1"/>
      <w:marLeft w:val="0"/>
      <w:marRight w:val="0"/>
      <w:marTop w:val="0"/>
      <w:marBottom w:val="0"/>
      <w:divBdr>
        <w:top w:val="none" w:sz="0" w:space="0" w:color="auto"/>
        <w:left w:val="none" w:sz="0" w:space="0" w:color="auto"/>
        <w:bottom w:val="none" w:sz="0" w:space="0" w:color="auto"/>
        <w:right w:val="none" w:sz="0" w:space="0" w:color="auto"/>
      </w:divBdr>
    </w:div>
    <w:div w:id="1261452225">
      <w:bodyDiv w:val="1"/>
      <w:marLeft w:val="0"/>
      <w:marRight w:val="0"/>
      <w:marTop w:val="0"/>
      <w:marBottom w:val="0"/>
      <w:divBdr>
        <w:top w:val="none" w:sz="0" w:space="0" w:color="auto"/>
        <w:left w:val="none" w:sz="0" w:space="0" w:color="auto"/>
        <w:bottom w:val="none" w:sz="0" w:space="0" w:color="auto"/>
        <w:right w:val="none" w:sz="0" w:space="0" w:color="auto"/>
      </w:divBdr>
    </w:div>
    <w:div w:id="1267081710">
      <w:bodyDiv w:val="1"/>
      <w:marLeft w:val="0"/>
      <w:marRight w:val="0"/>
      <w:marTop w:val="0"/>
      <w:marBottom w:val="0"/>
      <w:divBdr>
        <w:top w:val="none" w:sz="0" w:space="0" w:color="auto"/>
        <w:left w:val="none" w:sz="0" w:space="0" w:color="auto"/>
        <w:bottom w:val="none" w:sz="0" w:space="0" w:color="auto"/>
        <w:right w:val="none" w:sz="0" w:space="0" w:color="auto"/>
      </w:divBdr>
    </w:div>
    <w:div w:id="1268851912">
      <w:bodyDiv w:val="1"/>
      <w:marLeft w:val="0"/>
      <w:marRight w:val="0"/>
      <w:marTop w:val="0"/>
      <w:marBottom w:val="0"/>
      <w:divBdr>
        <w:top w:val="none" w:sz="0" w:space="0" w:color="auto"/>
        <w:left w:val="none" w:sz="0" w:space="0" w:color="auto"/>
        <w:bottom w:val="none" w:sz="0" w:space="0" w:color="auto"/>
        <w:right w:val="none" w:sz="0" w:space="0" w:color="auto"/>
      </w:divBdr>
    </w:div>
    <w:div w:id="1269776577">
      <w:bodyDiv w:val="1"/>
      <w:marLeft w:val="0"/>
      <w:marRight w:val="0"/>
      <w:marTop w:val="0"/>
      <w:marBottom w:val="0"/>
      <w:divBdr>
        <w:top w:val="none" w:sz="0" w:space="0" w:color="auto"/>
        <w:left w:val="none" w:sz="0" w:space="0" w:color="auto"/>
        <w:bottom w:val="none" w:sz="0" w:space="0" w:color="auto"/>
        <w:right w:val="none" w:sz="0" w:space="0" w:color="auto"/>
      </w:divBdr>
    </w:div>
    <w:div w:id="1273391748">
      <w:bodyDiv w:val="1"/>
      <w:marLeft w:val="0"/>
      <w:marRight w:val="0"/>
      <w:marTop w:val="0"/>
      <w:marBottom w:val="0"/>
      <w:divBdr>
        <w:top w:val="none" w:sz="0" w:space="0" w:color="auto"/>
        <w:left w:val="none" w:sz="0" w:space="0" w:color="auto"/>
        <w:bottom w:val="none" w:sz="0" w:space="0" w:color="auto"/>
        <w:right w:val="none" w:sz="0" w:space="0" w:color="auto"/>
      </w:divBdr>
    </w:div>
    <w:div w:id="1274747737">
      <w:bodyDiv w:val="1"/>
      <w:marLeft w:val="0"/>
      <w:marRight w:val="0"/>
      <w:marTop w:val="0"/>
      <w:marBottom w:val="0"/>
      <w:divBdr>
        <w:top w:val="none" w:sz="0" w:space="0" w:color="auto"/>
        <w:left w:val="none" w:sz="0" w:space="0" w:color="auto"/>
        <w:bottom w:val="none" w:sz="0" w:space="0" w:color="auto"/>
        <w:right w:val="none" w:sz="0" w:space="0" w:color="auto"/>
      </w:divBdr>
    </w:div>
    <w:div w:id="1277518393">
      <w:bodyDiv w:val="1"/>
      <w:marLeft w:val="0"/>
      <w:marRight w:val="0"/>
      <w:marTop w:val="0"/>
      <w:marBottom w:val="0"/>
      <w:divBdr>
        <w:top w:val="none" w:sz="0" w:space="0" w:color="auto"/>
        <w:left w:val="none" w:sz="0" w:space="0" w:color="auto"/>
        <w:bottom w:val="none" w:sz="0" w:space="0" w:color="auto"/>
        <w:right w:val="none" w:sz="0" w:space="0" w:color="auto"/>
      </w:divBdr>
    </w:div>
    <w:div w:id="1280259093">
      <w:bodyDiv w:val="1"/>
      <w:marLeft w:val="0"/>
      <w:marRight w:val="0"/>
      <w:marTop w:val="0"/>
      <w:marBottom w:val="0"/>
      <w:divBdr>
        <w:top w:val="none" w:sz="0" w:space="0" w:color="auto"/>
        <w:left w:val="none" w:sz="0" w:space="0" w:color="auto"/>
        <w:bottom w:val="none" w:sz="0" w:space="0" w:color="auto"/>
        <w:right w:val="none" w:sz="0" w:space="0" w:color="auto"/>
      </w:divBdr>
    </w:div>
    <w:div w:id="1284144727">
      <w:bodyDiv w:val="1"/>
      <w:marLeft w:val="0"/>
      <w:marRight w:val="0"/>
      <w:marTop w:val="0"/>
      <w:marBottom w:val="0"/>
      <w:divBdr>
        <w:top w:val="none" w:sz="0" w:space="0" w:color="auto"/>
        <w:left w:val="none" w:sz="0" w:space="0" w:color="auto"/>
        <w:bottom w:val="none" w:sz="0" w:space="0" w:color="auto"/>
        <w:right w:val="none" w:sz="0" w:space="0" w:color="auto"/>
      </w:divBdr>
    </w:div>
    <w:div w:id="1285847395">
      <w:bodyDiv w:val="1"/>
      <w:marLeft w:val="0"/>
      <w:marRight w:val="0"/>
      <w:marTop w:val="0"/>
      <w:marBottom w:val="0"/>
      <w:divBdr>
        <w:top w:val="none" w:sz="0" w:space="0" w:color="auto"/>
        <w:left w:val="none" w:sz="0" w:space="0" w:color="auto"/>
        <w:bottom w:val="none" w:sz="0" w:space="0" w:color="auto"/>
        <w:right w:val="none" w:sz="0" w:space="0" w:color="auto"/>
      </w:divBdr>
    </w:div>
    <w:div w:id="1288657820">
      <w:bodyDiv w:val="1"/>
      <w:marLeft w:val="0"/>
      <w:marRight w:val="0"/>
      <w:marTop w:val="0"/>
      <w:marBottom w:val="0"/>
      <w:divBdr>
        <w:top w:val="none" w:sz="0" w:space="0" w:color="auto"/>
        <w:left w:val="none" w:sz="0" w:space="0" w:color="auto"/>
        <w:bottom w:val="none" w:sz="0" w:space="0" w:color="auto"/>
        <w:right w:val="none" w:sz="0" w:space="0" w:color="auto"/>
      </w:divBdr>
    </w:div>
    <w:div w:id="1293484063">
      <w:bodyDiv w:val="1"/>
      <w:marLeft w:val="0"/>
      <w:marRight w:val="0"/>
      <w:marTop w:val="0"/>
      <w:marBottom w:val="0"/>
      <w:divBdr>
        <w:top w:val="none" w:sz="0" w:space="0" w:color="auto"/>
        <w:left w:val="none" w:sz="0" w:space="0" w:color="auto"/>
        <w:bottom w:val="none" w:sz="0" w:space="0" w:color="auto"/>
        <w:right w:val="none" w:sz="0" w:space="0" w:color="auto"/>
      </w:divBdr>
    </w:div>
    <w:div w:id="1294098971">
      <w:bodyDiv w:val="1"/>
      <w:marLeft w:val="0"/>
      <w:marRight w:val="0"/>
      <w:marTop w:val="0"/>
      <w:marBottom w:val="0"/>
      <w:divBdr>
        <w:top w:val="none" w:sz="0" w:space="0" w:color="auto"/>
        <w:left w:val="none" w:sz="0" w:space="0" w:color="auto"/>
        <w:bottom w:val="none" w:sz="0" w:space="0" w:color="auto"/>
        <w:right w:val="none" w:sz="0" w:space="0" w:color="auto"/>
      </w:divBdr>
    </w:div>
    <w:div w:id="1295526339">
      <w:bodyDiv w:val="1"/>
      <w:marLeft w:val="0"/>
      <w:marRight w:val="0"/>
      <w:marTop w:val="0"/>
      <w:marBottom w:val="0"/>
      <w:divBdr>
        <w:top w:val="none" w:sz="0" w:space="0" w:color="auto"/>
        <w:left w:val="none" w:sz="0" w:space="0" w:color="auto"/>
        <w:bottom w:val="none" w:sz="0" w:space="0" w:color="auto"/>
        <w:right w:val="none" w:sz="0" w:space="0" w:color="auto"/>
      </w:divBdr>
    </w:div>
    <w:div w:id="1296444186">
      <w:bodyDiv w:val="1"/>
      <w:marLeft w:val="0"/>
      <w:marRight w:val="0"/>
      <w:marTop w:val="0"/>
      <w:marBottom w:val="0"/>
      <w:divBdr>
        <w:top w:val="none" w:sz="0" w:space="0" w:color="auto"/>
        <w:left w:val="none" w:sz="0" w:space="0" w:color="auto"/>
        <w:bottom w:val="none" w:sz="0" w:space="0" w:color="auto"/>
        <w:right w:val="none" w:sz="0" w:space="0" w:color="auto"/>
      </w:divBdr>
    </w:div>
    <w:div w:id="1305045202">
      <w:bodyDiv w:val="1"/>
      <w:marLeft w:val="0"/>
      <w:marRight w:val="0"/>
      <w:marTop w:val="0"/>
      <w:marBottom w:val="0"/>
      <w:divBdr>
        <w:top w:val="none" w:sz="0" w:space="0" w:color="auto"/>
        <w:left w:val="none" w:sz="0" w:space="0" w:color="auto"/>
        <w:bottom w:val="none" w:sz="0" w:space="0" w:color="auto"/>
        <w:right w:val="none" w:sz="0" w:space="0" w:color="auto"/>
      </w:divBdr>
    </w:div>
    <w:div w:id="1308054891">
      <w:bodyDiv w:val="1"/>
      <w:marLeft w:val="0"/>
      <w:marRight w:val="0"/>
      <w:marTop w:val="0"/>
      <w:marBottom w:val="0"/>
      <w:divBdr>
        <w:top w:val="none" w:sz="0" w:space="0" w:color="auto"/>
        <w:left w:val="none" w:sz="0" w:space="0" w:color="auto"/>
        <w:bottom w:val="none" w:sz="0" w:space="0" w:color="auto"/>
        <w:right w:val="none" w:sz="0" w:space="0" w:color="auto"/>
      </w:divBdr>
    </w:div>
    <w:div w:id="1312099626">
      <w:bodyDiv w:val="1"/>
      <w:marLeft w:val="0"/>
      <w:marRight w:val="0"/>
      <w:marTop w:val="0"/>
      <w:marBottom w:val="0"/>
      <w:divBdr>
        <w:top w:val="none" w:sz="0" w:space="0" w:color="auto"/>
        <w:left w:val="none" w:sz="0" w:space="0" w:color="auto"/>
        <w:bottom w:val="none" w:sz="0" w:space="0" w:color="auto"/>
        <w:right w:val="none" w:sz="0" w:space="0" w:color="auto"/>
      </w:divBdr>
    </w:div>
    <w:div w:id="1313219365">
      <w:bodyDiv w:val="1"/>
      <w:marLeft w:val="0"/>
      <w:marRight w:val="0"/>
      <w:marTop w:val="0"/>
      <w:marBottom w:val="0"/>
      <w:divBdr>
        <w:top w:val="none" w:sz="0" w:space="0" w:color="auto"/>
        <w:left w:val="none" w:sz="0" w:space="0" w:color="auto"/>
        <w:bottom w:val="none" w:sz="0" w:space="0" w:color="auto"/>
        <w:right w:val="none" w:sz="0" w:space="0" w:color="auto"/>
      </w:divBdr>
    </w:div>
    <w:div w:id="1313558326">
      <w:bodyDiv w:val="1"/>
      <w:marLeft w:val="0"/>
      <w:marRight w:val="0"/>
      <w:marTop w:val="0"/>
      <w:marBottom w:val="0"/>
      <w:divBdr>
        <w:top w:val="none" w:sz="0" w:space="0" w:color="auto"/>
        <w:left w:val="none" w:sz="0" w:space="0" w:color="auto"/>
        <w:bottom w:val="none" w:sz="0" w:space="0" w:color="auto"/>
        <w:right w:val="none" w:sz="0" w:space="0" w:color="auto"/>
      </w:divBdr>
    </w:div>
    <w:div w:id="1322000561">
      <w:bodyDiv w:val="1"/>
      <w:marLeft w:val="0"/>
      <w:marRight w:val="0"/>
      <w:marTop w:val="0"/>
      <w:marBottom w:val="0"/>
      <w:divBdr>
        <w:top w:val="none" w:sz="0" w:space="0" w:color="auto"/>
        <w:left w:val="none" w:sz="0" w:space="0" w:color="auto"/>
        <w:bottom w:val="none" w:sz="0" w:space="0" w:color="auto"/>
        <w:right w:val="none" w:sz="0" w:space="0" w:color="auto"/>
      </w:divBdr>
    </w:div>
    <w:div w:id="1323044442">
      <w:bodyDiv w:val="1"/>
      <w:marLeft w:val="0"/>
      <w:marRight w:val="0"/>
      <w:marTop w:val="0"/>
      <w:marBottom w:val="0"/>
      <w:divBdr>
        <w:top w:val="none" w:sz="0" w:space="0" w:color="auto"/>
        <w:left w:val="none" w:sz="0" w:space="0" w:color="auto"/>
        <w:bottom w:val="none" w:sz="0" w:space="0" w:color="auto"/>
        <w:right w:val="none" w:sz="0" w:space="0" w:color="auto"/>
      </w:divBdr>
    </w:div>
    <w:div w:id="1333989379">
      <w:bodyDiv w:val="1"/>
      <w:marLeft w:val="0"/>
      <w:marRight w:val="0"/>
      <w:marTop w:val="0"/>
      <w:marBottom w:val="0"/>
      <w:divBdr>
        <w:top w:val="none" w:sz="0" w:space="0" w:color="auto"/>
        <w:left w:val="none" w:sz="0" w:space="0" w:color="auto"/>
        <w:bottom w:val="none" w:sz="0" w:space="0" w:color="auto"/>
        <w:right w:val="none" w:sz="0" w:space="0" w:color="auto"/>
      </w:divBdr>
    </w:div>
    <w:div w:id="1335257276">
      <w:bodyDiv w:val="1"/>
      <w:marLeft w:val="0"/>
      <w:marRight w:val="0"/>
      <w:marTop w:val="0"/>
      <w:marBottom w:val="0"/>
      <w:divBdr>
        <w:top w:val="none" w:sz="0" w:space="0" w:color="auto"/>
        <w:left w:val="none" w:sz="0" w:space="0" w:color="auto"/>
        <w:bottom w:val="none" w:sz="0" w:space="0" w:color="auto"/>
        <w:right w:val="none" w:sz="0" w:space="0" w:color="auto"/>
      </w:divBdr>
    </w:div>
    <w:div w:id="1337344498">
      <w:bodyDiv w:val="1"/>
      <w:marLeft w:val="0"/>
      <w:marRight w:val="0"/>
      <w:marTop w:val="0"/>
      <w:marBottom w:val="0"/>
      <w:divBdr>
        <w:top w:val="none" w:sz="0" w:space="0" w:color="auto"/>
        <w:left w:val="none" w:sz="0" w:space="0" w:color="auto"/>
        <w:bottom w:val="none" w:sz="0" w:space="0" w:color="auto"/>
        <w:right w:val="none" w:sz="0" w:space="0" w:color="auto"/>
      </w:divBdr>
    </w:div>
    <w:div w:id="1338463521">
      <w:bodyDiv w:val="1"/>
      <w:marLeft w:val="0"/>
      <w:marRight w:val="0"/>
      <w:marTop w:val="0"/>
      <w:marBottom w:val="0"/>
      <w:divBdr>
        <w:top w:val="none" w:sz="0" w:space="0" w:color="auto"/>
        <w:left w:val="none" w:sz="0" w:space="0" w:color="auto"/>
        <w:bottom w:val="none" w:sz="0" w:space="0" w:color="auto"/>
        <w:right w:val="none" w:sz="0" w:space="0" w:color="auto"/>
      </w:divBdr>
    </w:div>
    <w:div w:id="1338920566">
      <w:bodyDiv w:val="1"/>
      <w:marLeft w:val="0"/>
      <w:marRight w:val="0"/>
      <w:marTop w:val="0"/>
      <w:marBottom w:val="0"/>
      <w:divBdr>
        <w:top w:val="none" w:sz="0" w:space="0" w:color="auto"/>
        <w:left w:val="none" w:sz="0" w:space="0" w:color="auto"/>
        <w:bottom w:val="none" w:sz="0" w:space="0" w:color="auto"/>
        <w:right w:val="none" w:sz="0" w:space="0" w:color="auto"/>
      </w:divBdr>
    </w:div>
    <w:div w:id="1341734957">
      <w:bodyDiv w:val="1"/>
      <w:marLeft w:val="0"/>
      <w:marRight w:val="0"/>
      <w:marTop w:val="0"/>
      <w:marBottom w:val="0"/>
      <w:divBdr>
        <w:top w:val="none" w:sz="0" w:space="0" w:color="auto"/>
        <w:left w:val="none" w:sz="0" w:space="0" w:color="auto"/>
        <w:bottom w:val="none" w:sz="0" w:space="0" w:color="auto"/>
        <w:right w:val="none" w:sz="0" w:space="0" w:color="auto"/>
      </w:divBdr>
    </w:div>
    <w:div w:id="1355570974">
      <w:bodyDiv w:val="1"/>
      <w:marLeft w:val="0"/>
      <w:marRight w:val="0"/>
      <w:marTop w:val="0"/>
      <w:marBottom w:val="0"/>
      <w:divBdr>
        <w:top w:val="none" w:sz="0" w:space="0" w:color="auto"/>
        <w:left w:val="none" w:sz="0" w:space="0" w:color="auto"/>
        <w:bottom w:val="none" w:sz="0" w:space="0" w:color="auto"/>
        <w:right w:val="none" w:sz="0" w:space="0" w:color="auto"/>
      </w:divBdr>
    </w:div>
    <w:div w:id="1372263153">
      <w:bodyDiv w:val="1"/>
      <w:marLeft w:val="0"/>
      <w:marRight w:val="0"/>
      <w:marTop w:val="0"/>
      <w:marBottom w:val="0"/>
      <w:divBdr>
        <w:top w:val="none" w:sz="0" w:space="0" w:color="auto"/>
        <w:left w:val="none" w:sz="0" w:space="0" w:color="auto"/>
        <w:bottom w:val="none" w:sz="0" w:space="0" w:color="auto"/>
        <w:right w:val="none" w:sz="0" w:space="0" w:color="auto"/>
      </w:divBdr>
    </w:div>
    <w:div w:id="1377513232">
      <w:bodyDiv w:val="1"/>
      <w:marLeft w:val="0"/>
      <w:marRight w:val="0"/>
      <w:marTop w:val="0"/>
      <w:marBottom w:val="0"/>
      <w:divBdr>
        <w:top w:val="none" w:sz="0" w:space="0" w:color="auto"/>
        <w:left w:val="none" w:sz="0" w:space="0" w:color="auto"/>
        <w:bottom w:val="none" w:sz="0" w:space="0" w:color="auto"/>
        <w:right w:val="none" w:sz="0" w:space="0" w:color="auto"/>
      </w:divBdr>
    </w:div>
    <w:div w:id="1387071127">
      <w:bodyDiv w:val="1"/>
      <w:marLeft w:val="0"/>
      <w:marRight w:val="0"/>
      <w:marTop w:val="0"/>
      <w:marBottom w:val="0"/>
      <w:divBdr>
        <w:top w:val="none" w:sz="0" w:space="0" w:color="auto"/>
        <w:left w:val="none" w:sz="0" w:space="0" w:color="auto"/>
        <w:bottom w:val="none" w:sz="0" w:space="0" w:color="auto"/>
        <w:right w:val="none" w:sz="0" w:space="0" w:color="auto"/>
      </w:divBdr>
    </w:div>
    <w:div w:id="1391540836">
      <w:bodyDiv w:val="1"/>
      <w:marLeft w:val="0"/>
      <w:marRight w:val="0"/>
      <w:marTop w:val="0"/>
      <w:marBottom w:val="0"/>
      <w:divBdr>
        <w:top w:val="none" w:sz="0" w:space="0" w:color="auto"/>
        <w:left w:val="none" w:sz="0" w:space="0" w:color="auto"/>
        <w:bottom w:val="none" w:sz="0" w:space="0" w:color="auto"/>
        <w:right w:val="none" w:sz="0" w:space="0" w:color="auto"/>
      </w:divBdr>
    </w:div>
    <w:div w:id="1404108873">
      <w:bodyDiv w:val="1"/>
      <w:marLeft w:val="0"/>
      <w:marRight w:val="0"/>
      <w:marTop w:val="0"/>
      <w:marBottom w:val="0"/>
      <w:divBdr>
        <w:top w:val="none" w:sz="0" w:space="0" w:color="auto"/>
        <w:left w:val="none" w:sz="0" w:space="0" w:color="auto"/>
        <w:bottom w:val="none" w:sz="0" w:space="0" w:color="auto"/>
        <w:right w:val="none" w:sz="0" w:space="0" w:color="auto"/>
      </w:divBdr>
    </w:div>
    <w:div w:id="1404764964">
      <w:bodyDiv w:val="1"/>
      <w:marLeft w:val="0"/>
      <w:marRight w:val="0"/>
      <w:marTop w:val="0"/>
      <w:marBottom w:val="0"/>
      <w:divBdr>
        <w:top w:val="none" w:sz="0" w:space="0" w:color="auto"/>
        <w:left w:val="none" w:sz="0" w:space="0" w:color="auto"/>
        <w:bottom w:val="none" w:sz="0" w:space="0" w:color="auto"/>
        <w:right w:val="none" w:sz="0" w:space="0" w:color="auto"/>
      </w:divBdr>
    </w:div>
    <w:div w:id="1436830424">
      <w:bodyDiv w:val="1"/>
      <w:marLeft w:val="0"/>
      <w:marRight w:val="0"/>
      <w:marTop w:val="0"/>
      <w:marBottom w:val="0"/>
      <w:divBdr>
        <w:top w:val="none" w:sz="0" w:space="0" w:color="auto"/>
        <w:left w:val="none" w:sz="0" w:space="0" w:color="auto"/>
        <w:bottom w:val="none" w:sz="0" w:space="0" w:color="auto"/>
        <w:right w:val="none" w:sz="0" w:space="0" w:color="auto"/>
      </w:divBdr>
    </w:div>
    <w:div w:id="1438060285">
      <w:bodyDiv w:val="1"/>
      <w:marLeft w:val="0"/>
      <w:marRight w:val="0"/>
      <w:marTop w:val="0"/>
      <w:marBottom w:val="0"/>
      <w:divBdr>
        <w:top w:val="none" w:sz="0" w:space="0" w:color="auto"/>
        <w:left w:val="none" w:sz="0" w:space="0" w:color="auto"/>
        <w:bottom w:val="none" w:sz="0" w:space="0" w:color="auto"/>
        <w:right w:val="none" w:sz="0" w:space="0" w:color="auto"/>
      </w:divBdr>
    </w:div>
    <w:div w:id="1444156151">
      <w:bodyDiv w:val="1"/>
      <w:marLeft w:val="0"/>
      <w:marRight w:val="0"/>
      <w:marTop w:val="0"/>
      <w:marBottom w:val="0"/>
      <w:divBdr>
        <w:top w:val="none" w:sz="0" w:space="0" w:color="auto"/>
        <w:left w:val="none" w:sz="0" w:space="0" w:color="auto"/>
        <w:bottom w:val="none" w:sz="0" w:space="0" w:color="auto"/>
        <w:right w:val="none" w:sz="0" w:space="0" w:color="auto"/>
      </w:divBdr>
    </w:div>
    <w:div w:id="1447189149">
      <w:bodyDiv w:val="1"/>
      <w:marLeft w:val="0"/>
      <w:marRight w:val="0"/>
      <w:marTop w:val="0"/>
      <w:marBottom w:val="0"/>
      <w:divBdr>
        <w:top w:val="none" w:sz="0" w:space="0" w:color="auto"/>
        <w:left w:val="none" w:sz="0" w:space="0" w:color="auto"/>
        <w:bottom w:val="none" w:sz="0" w:space="0" w:color="auto"/>
        <w:right w:val="none" w:sz="0" w:space="0" w:color="auto"/>
      </w:divBdr>
    </w:div>
    <w:div w:id="1450317038">
      <w:bodyDiv w:val="1"/>
      <w:marLeft w:val="0"/>
      <w:marRight w:val="0"/>
      <w:marTop w:val="0"/>
      <w:marBottom w:val="0"/>
      <w:divBdr>
        <w:top w:val="none" w:sz="0" w:space="0" w:color="auto"/>
        <w:left w:val="none" w:sz="0" w:space="0" w:color="auto"/>
        <w:bottom w:val="none" w:sz="0" w:space="0" w:color="auto"/>
        <w:right w:val="none" w:sz="0" w:space="0" w:color="auto"/>
      </w:divBdr>
    </w:div>
    <w:div w:id="1451049714">
      <w:bodyDiv w:val="1"/>
      <w:marLeft w:val="0"/>
      <w:marRight w:val="0"/>
      <w:marTop w:val="0"/>
      <w:marBottom w:val="0"/>
      <w:divBdr>
        <w:top w:val="none" w:sz="0" w:space="0" w:color="auto"/>
        <w:left w:val="none" w:sz="0" w:space="0" w:color="auto"/>
        <w:bottom w:val="none" w:sz="0" w:space="0" w:color="auto"/>
        <w:right w:val="none" w:sz="0" w:space="0" w:color="auto"/>
      </w:divBdr>
    </w:div>
    <w:div w:id="1451819685">
      <w:bodyDiv w:val="1"/>
      <w:marLeft w:val="0"/>
      <w:marRight w:val="0"/>
      <w:marTop w:val="0"/>
      <w:marBottom w:val="0"/>
      <w:divBdr>
        <w:top w:val="none" w:sz="0" w:space="0" w:color="auto"/>
        <w:left w:val="none" w:sz="0" w:space="0" w:color="auto"/>
        <w:bottom w:val="none" w:sz="0" w:space="0" w:color="auto"/>
        <w:right w:val="none" w:sz="0" w:space="0" w:color="auto"/>
      </w:divBdr>
    </w:div>
    <w:div w:id="1459296274">
      <w:bodyDiv w:val="1"/>
      <w:marLeft w:val="0"/>
      <w:marRight w:val="0"/>
      <w:marTop w:val="0"/>
      <w:marBottom w:val="0"/>
      <w:divBdr>
        <w:top w:val="none" w:sz="0" w:space="0" w:color="auto"/>
        <w:left w:val="none" w:sz="0" w:space="0" w:color="auto"/>
        <w:bottom w:val="none" w:sz="0" w:space="0" w:color="auto"/>
        <w:right w:val="none" w:sz="0" w:space="0" w:color="auto"/>
      </w:divBdr>
    </w:div>
    <w:div w:id="1459689276">
      <w:bodyDiv w:val="1"/>
      <w:marLeft w:val="0"/>
      <w:marRight w:val="0"/>
      <w:marTop w:val="0"/>
      <w:marBottom w:val="0"/>
      <w:divBdr>
        <w:top w:val="none" w:sz="0" w:space="0" w:color="auto"/>
        <w:left w:val="none" w:sz="0" w:space="0" w:color="auto"/>
        <w:bottom w:val="none" w:sz="0" w:space="0" w:color="auto"/>
        <w:right w:val="none" w:sz="0" w:space="0" w:color="auto"/>
      </w:divBdr>
    </w:div>
    <w:div w:id="1461654790">
      <w:bodyDiv w:val="1"/>
      <w:marLeft w:val="0"/>
      <w:marRight w:val="0"/>
      <w:marTop w:val="0"/>
      <w:marBottom w:val="0"/>
      <w:divBdr>
        <w:top w:val="none" w:sz="0" w:space="0" w:color="auto"/>
        <w:left w:val="none" w:sz="0" w:space="0" w:color="auto"/>
        <w:bottom w:val="none" w:sz="0" w:space="0" w:color="auto"/>
        <w:right w:val="none" w:sz="0" w:space="0" w:color="auto"/>
      </w:divBdr>
    </w:div>
    <w:div w:id="1467354932">
      <w:bodyDiv w:val="1"/>
      <w:marLeft w:val="0"/>
      <w:marRight w:val="0"/>
      <w:marTop w:val="0"/>
      <w:marBottom w:val="0"/>
      <w:divBdr>
        <w:top w:val="none" w:sz="0" w:space="0" w:color="auto"/>
        <w:left w:val="none" w:sz="0" w:space="0" w:color="auto"/>
        <w:bottom w:val="none" w:sz="0" w:space="0" w:color="auto"/>
        <w:right w:val="none" w:sz="0" w:space="0" w:color="auto"/>
      </w:divBdr>
    </w:div>
    <w:div w:id="1469476982">
      <w:bodyDiv w:val="1"/>
      <w:marLeft w:val="0"/>
      <w:marRight w:val="0"/>
      <w:marTop w:val="0"/>
      <w:marBottom w:val="0"/>
      <w:divBdr>
        <w:top w:val="none" w:sz="0" w:space="0" w:color="auto"/>
        <w:left w:val="none" w:sz="0" w:space="0" w:color="auto"/>
        <w:bottom w:val="none" w:sz="0" w:space="0" w:color="auto"/>
        <w:right w:val="none" w:sz="0" w:space="0" w:color="auto"/>
      </w:divBdr>
    </w:div>
    <w:div w:id="1493255006">
      <w:bodyDiv w:val="1"/>
      <w:marLeft w:val="0"/>
      <w:marRight w:val="0"/>
      <w:marTop w:val="0"/>
      <w:marBottom w:val="0"/>
      <w:divBdr>
        <w:top w:val="none" w:sz="0" w:space="0" w:color="auto"/>
        <w:left w:val="none" w:sz="0" w:space="0" w:color="auto"/>
        <w:bottom w:val="none" w:sz="0" w:space="0" w:color="auto"/>
        <w:right w:val="none" w:sz="0" w:space="0" w:color="auto"/>
      </w:divBdr>
    </w:div>
    <w:div w:id="1494372248">
      <w:bodyDiv w:val="1"/>
      <w:marLeft w:val="0"/>
      <w:marRight w:val="0"/>
      <w:marTop w:val="0"/>
      <w:marBottom w:val="0"/>
      <w:divBdr>
        <w:top w:val="none" w:sz="0" w:space="0" w:color="auto"/>
        <w:left w:val="none" w:sz="0" w:space="0" w:color="auto"/>
        <w:bottom w:val="none" w:sz="0" w:space="0" w:color="auto"/>
        <w:right w:val="none" w:sz="0" w:space="0" w:color="auto"/>
      </w:divBdr>
    </w:div>
    <w:div w:id="1498418937">
      <w:bodyDiv w:val="1"/>
      <w:marLeft w:val="0"/>
      <w:marRight w:val="0"/>
      <w:marTop w:val="0"/>
      <w:marBottom w:val="0"/>
      <w:divBdr>
        <w:top w:val="none" w:sz="0" w:space="0" w:color="auto"/>
        <w:left w:val="none" w:sz="0" w:space="0" w:color="auto"/>
        <w:bottom w:val="none" w:sz="0" w:space="0" w:color="auto"/>
        <w:right w:val="none" w:sz="0" w:space="0" w:color="auto"/>
      </w:divBdr>
    </w:div>
    <w:div w:id="1501892475">
      <w:bodyDiv w:val="1"/>
      <w:marLeft w:val="0"/>
      <w:marRight w:val="0"/>
      <w:marTop w:val="0"/>
      <w:marBottom w:val="0"/>
      <w:divBdr>
        <w:top w:val="none" w:sz="0" w:space="0" w:color="auto"/>
        <w:left w:val="none" w:sz="0" w:space="0" w:color="auto"/>
        <w:bottom w:val="none" w:sz="0" w:space="0" w:color="auto"/>
        <w:right w:val="none" w:sz="0" w:space="0" w:color="auto"/>
      </w:divBdr>
    </w:div>
    <w:div w:id="1502544318">
      <w:bodyDiv w:val="1"/>
      <w:marLeft w:val="0"/>
      <w:marRight w:val="0"/>
      <w:marTop w:val="0"/>
      <w:marBottom w:val="0"/>
      <w:divBdr>
        <w:top w:val="none" w:sz="0" w:space="0" w:color="auto"/>
        <w:left w:val="none" w:sz="0" w:space="0" w:color="auto"/>
        <w:bottom w:val="none" w:sz="0" w:space="0" w:color="auto"/>
        <w:right w:val="none" w:sz="0" w:space="0" w:color="auto"/>
      </w:divBdr>
    </w:div>
    <w:div w:id="1502548361">
      <w:bodyDiv w:val="1"/>
      <w:marLeft w:val="0"/>
      <w:marRight w:val="0"/>
      <w:marTop w:val="0"/>
      <w:marBottom w:val="0"/>
      <w:divBdr>
        <w:top w:val="none" w:sz="0" w:space="0" w:color="auto"/>
        <w:left w:val="none" w:sz="0" w:space="0" w:color="auto"/>
        <w:bottom w:val="none" w:sz="0" w:space="0" w:color="auto"/>
        <w:right w:val="none" w:sz="0" w:space="0" w:color="auto"/>
      </w:divBdr>
    </w:div>
    <w:div w:id="1505583744">
      <w:bodyDiv w:val="1"/>
      <w:marLeft w:val="0"/>
      <w:marRight w:val="0"/>
      <w:marTop w:val="0"/>
      <w:marBottom w:val="0"/>
      <w:divBdr>
        <w:top w:val="none" w:sz="0" w:space="0" w:color="auto"/>
        <w:left w:val="none" w:sz="0" w:space="0" w:color="auto"/>
        <w:bottom w:val="none" w:sz="0" w:space="0" w:color="auto"/>
        <w:right w:val="none" w:sz="0" w:space="0" w:color="auto"/>
      </w:divBdr>
    </w:div>
    <w:div w:id="1508056669">
      <w:bodyDiv w:val="1"/>
      <w:marLeft w:val="0"/>
      <w:marRight w:val="0"/>
      <w:marTop w:val="0"/>
      <w:marBottom w:val="0"/>
      <w:divBdr>
        <w:top w:val="none" w:sz="0" w:space="0" w:color="auto"/>
        <w:left w:val="none" w:sz="0" w:space="0" w:color="auto"/>
        <w:bottom w:val="none" w:sz="0" w:space="0" w:color="auto"/>
        <w:right w:val="none" w:sz="0" w:space="0" w:color="auto"/>
      </w:divBdr>
    </w:div>
    <w:div w:id="1509371503">
      <w:bodyDiv w:val="1"/>
      <w:marLeft w:val="0"/>
      <w:marRight w:val="0"/>
      <w:marTop w:val="0"/>
      <w:marBottom w:val="0"/>
      <w:divBdr>
        <w:top w:val="none" w:sz="0" w:space="0" w:color="auto"/>
        <w:left w:val="none" w:sz="0" w:space="0" w:color="auto"/>
        <w:bottom w:val="none" w:sz="0" w:space="0" w:color="auto"/>
        <w:right w:val="none" w:sz="0" w:space="0" w:color="auto"/>
      </w:divBdr>
    </w:div>
    <w:div w:id="1516116037">
      <w:bodyDiv w:val="1"/>
      <w:marLeft w:val="0"/>
      <w:marRight w:val="0"/>
      <w:marTop w:val="0"/>
      <w:marBottom w:val="0"/>
      <w:divBdr>
        <w:top w:val="none" w:sz="0" w:space="0" w:color="auto"/>
        <w:left w:val="none" w:sz="0" w:space="0" w:color="auto"/>
        <w:bottom w:val="none" w:sz="0" w:space="0" w:color="auto"/>
        <w:right w:val="none" w:sz="0" w:space="0" w:color="auto"/>
      </w:divBdr>
    </w:div>
    <w:div w:id="1518736618">
      <w:bodyDiv w:val="1"/>
      <w:marLeft w:val="0"/>
      <w:marRight w:val="0"/>
      <w:marTop w:val="0"/>
      <w:marBottom w:val="0"/>
      <w:divBdr>
        <w:top w:val="none" w:sz="0" w:space="0" w:color="auto"/>
        <w:left w:val="none" w:sz="0" w:space="0" w:color="auto"/>
        <w:bottom w:val="none" w:sz="0" w:space="0" w:color="auto"/>
        <w:right w:val="none" w:sz="0" w:space="0" w:color="auto"/>
      </w:divBdr>
    </w:div>
    <w:div w:id="1518814293">
      <w:bodyDiv w:val="1"/>
      <w:marLeft w:val="0"/>
      <w:marRight w:val="0"/>
      <w:marTop w:val="0"/>
      <w:marBottom w:val="0"/>
      <w:divBdr>
        <w:top w:val="none" w:sz="0" w:space="0" w:color="auto"/>
        <w:left w:val="none" w:sz="0" w:space="0" w:color="auto"/>
        <w:bottom w:val="none" w:sz="0" w:space="0" w:color="auto"/>
        <w:right w:val="none" w:sz="0" w:space="0" w:color="auto"/>
      </w:divBdr>
    </w:div>
    <w:div w:id="1524779944">
      <w:bodyDiv w:val="1"/>
      <w:marLeft w:val="0"/>
      <w:marRight w:val="0"/>
      <w:marTop w:val="0"/>
      <w:marBottom w:val="0"/>
      <w:divBdr>
        <w:top w:val="none" w:sz="0" w:space="0" w:color="auto"/>
        <w:left w:val="none" w:sz="0" w:space="0" w:color="auto"/>
        <w:bottom w:val="none" w:sz="0" w:space="0" w:color="auto"/>
        <w:right w:val="none" w:sz="0" w:space="0" w:color="auto"/>
      </w:divBdr>
    </w:div>
    <w:div w:id="1525442471">
      <w:bodyDiv w:val="1"/>
      <w:marLeft w:val="0"/>
      <w:marRight w:val="0"/>
      <w:marTop w:val="0"/>
      <w:marBottom w:val="0"/>
      <w:divBdr>
        <w:top w:val="none" w:sz="0" w:space="0" w:color="auto"/>
        <w:left w:val="none" w:sz="0" w:space="0" w:color="auto"/>
        <w:bottom w:val="none" w:sz="0" w:space="0" w:color="auto"/>
        <w:right w:val="none" w:sz="0" w:space="0" w:color="auto"/>
      </w:divBdr>
    </w:div>
    <w:div w:id="1530605666">
      <w:bodyDiv w:val="1"/>
      <w:marLeft w:val="0"/>
      <w:marRight w:val="0"/>
      <w:marTop w:val="0"/>
      <w:marBottom w:val="0"/>
      <w:divBdr>
        <w:top w:val="none" w:sz="0" w:space="0" w:color="auto"/>
        <w:left w:val="none" w:sz="0" w:space="0" w:color="auto"/>
        <w:bottom w:val="none" w:sz="0" w:space="0" w:color="auto"/>
        <w:right w:val="none" w:sz="0" w:space="0" w:color="auto"/>
      </w:divBdr>
    </w:div>
    <w:div w:id="1538393548">
      <w:bodyDiv w:val="1"/>
      <w:marLeft w:val="0"/>
      <w:marRight w:val="0"/>
      <w:marTop w:val="0"/>
      <w:marBottom w:val="0"/>
      <w:divBdr>
        <w:top w:val="none" w:sz="0" w:space="0" w:color="auto"/>
        <w:left w:val="none" w:sz="0" w:space="0" w:color="auto"/>
        <w:bottom w:val="none" w:sz="0" w:space="0" w:color="auto"/>
        <w:right w:val="none" w:sz="0" w:space="0" w:color="auto"/>
      </w:divBdr>
    </w:div>
    <w:div w:id="1546409191">
      <w:bodyDiv w:val="1"/>
      <w:marLeft w:val="0"/>
      <w:marRight w:val="0"/>
      <w:marTop w:val="0"/>
      <w:marBottom w:val="0"/>
      <w:divBdr>
        <w:top w:val="none" w:sz="0" w:space="0" w:color="auto"/>
        <w:left w:val="none" w:sz="0" w:space="0" w:color="auto"/>
        <w:bottom w:val="none" w:sz="0" w:space="0" w:color="auto"/>
        <w:right w:val="none" w:sz="0" w:space="0" w:color="auto"/>
      </w:divBdr>
      <w:divsChild>
        <w:div w:id="1861426804">
          <w:marLeft w:val="0"/>
          <w:marRight w:val="0"/>
          <w:marTop w:val="0"/>
          <w:marBottom w:val="0"/>
          <w:divBdr>
            <w:top w:val="none" w:sz="0" w:space="0" w:color="auto"/>
            <w:left w:val="none" w:sz="0" w:space="0" w:color="auto"/>
            <w:bottom w:val="none" w:sz="0" w:space="0" w:color="auto"/>
            <w:right w:val="none" w:sz="0" w:space="0" w:color="auto"/>
          </w:divBdr>
          <w:divsChild>
            <w:div w:id="1301035769">
              <w:marLeft w:val="0"/>
              <w:marRight w:val="0"/>
              <w:marTop w:val="0"/>
              <w:marBottom w:val="0"/>
              <w:divBdr>
                <w:top w:val="none" w:sz="0" w:space="0" w:color="auto"/>
                <w:left w:val="none" w:sz="0" w:space="0" w:color="auto"/>
                <w:bottom w:val="none" w:sz="0" w:space="0" w:color="auto"/>
                <w:right w:val="none" w:sz="0" w:space="0" w:color="auto"/>
              </w:divBdr>
              <w:divsChild>
                <w:div w:id="25278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83586">
      <w:bodyDiv w:val="1"/>
      <w:marLeft w:val="0"/>
      <w:marRight w:val="0"/>
      <w:marTop w:val="0"/>
      <w:marBottom w:val="0"/>
      <w:divBdr>
        <w:top w:val="none" w:sz="0" w:space="0" w:color="auto"/>
        <w:left w:val="none" w:sz="0" w:space="0" w:color="auto"/>
        <w:bottom w:val="none" w:sz="0" w:space="0" w:color="auto"/>
        <w:right w:val="none" w:sz="0" w:space="0" w:color="auto"/>
      </w:divBdr>
    </w:div>
    <w:div w:id="1554845792">
      <w:bodyDiv w:val="1"/>
      <w:marLeft w:val="0"/>
      <w:marRight w:val="0"/>
      <w:marTop w:val="0"/>
      <w:marBottom w:val="0"/>
      <w:divBdr>
        <w:top w:val="none" w:sz="0" w:space="0" w:color="auto"/>
        <w:left w:val="none" w:sz="0" w:space="0" w:color="auto"/>
        <w:bottom w:val="none" w:sz="0" w:space="0" w:color="auto"/>
        <w:right w:val="none" w:sz="0" w:space="0" w:color="auto"/>
      </w:divBdr>
    </w:div>
    <w:div w:id="1568802285">
      <w:bodyDiv w:val="1"/>
      <w:marLeft w:val="0"/>
      <w:marRight w:val="0"/>
      <w:marTop w:val="0"/>
      <w:marBottom w:val="0"/>
      <w:divBdr>
        <w:top w:val="none" w:sz="0" w:space="0" w:color="auto"/>
        <w:left w:val="none" w:sz="0" w:space="0" w:color="auto"/>
        <w:bottom w:val="none" w:sz="0" w:space="0" w:color="auto"/>
        <w:right w:val="none" w:sz="0" w:space="0" w:color="auto"/>
      </w:divBdr>
    </w:div>
    <w:div w:id="1569609736">
      <w:bodyDiv w:val="1"/>
      <w:marLeft w:val="0"/>
      <w:marRight w:val="0"/>
      <w:marTop w:val="0"/>
      <w:marBottom w:val="0"/>
      <w:divBdr>
        <w:top w:val="none" w:sz="0" w:space="0" w:color="auto"/>
        <w:left w:val="none" w:sz="0" w:space="0" w:color="auto"/>
        <w:bottom w:val="none" w:sz="0" w:space="0" w:color="auto"/>
        <w:right w:val="none" w:sz="0" w:space="0" w:color="auto"/>
      </w:divBdr>
    </w:div>
    <w:div w:id="1587304469">
      <w:bodyDiv w:val="1"/>
      <w:marLeft w:val="0"/>
      <w:marRight w:val="0"/>
      <w:marTop w:val="0"/>
      <w:marBottom w:val="0"/>
      <w:divBdr>
        <w:top w:val="none" w:sz="0" w:space="0" w:color="auto"/>
        <w:left w:val="none" w:sz="0" w:space="0" w:color="auto"/>
        <w:bottom w:val="none" w:sz="0" w:space="0" w:color="auto"/>
        <w:right w:val="none" w:sz="0" w:space="0" w:color="auto"/>
      </w:divBdr>
    </w:div>
    <w:div w:id="1603798137">
      <w:bodyDiv w:val="1"/>
      <w:marLeft w:val="0"/>
      <w:marRight w:val="0"/>
      <w:marTop w:val="0"/>
      <w:marBottom w:val="0"/>
      <w:divBdr>
        <w:top w:val="none" w:sz="0" w:space="0" w:color="auto"/>
        <w:left w:val="none" w:sz="0" w:space="0" w:color="auto"/>
        <w:bottom w:val="none" w:sz="0" w:space="0" w:color="auto"/>
        <w:right w:val="none" w:sz="0" w:space="0" w:color="auto"/>
      </w:divBdr>
    </w:div>
    <w:div w:id="1606114653">
      <w:bodyDiv w:val="1"/>
      <w:marLeft w:val="0"/>
      <w:marRight w:val="0"/>
      <w:marTop w:val="0"/>
      <w:marBottom w:val="0"/>
      <w:divBdr>
        <w:top w:val="none" w:sz="0" w:space="0" w:color="auto"/>
        <w:left w:val="none" w:sz="0" w:space="0" w:color="auto"/>
        <w:bottom w:val="none" w:sz="0" w:space="0" w:color="auto"/>
        <w:right w:val="none" w:sz="0" w:space="0" w:color="auto"/>
      </w:divBdr>
    </w:div>
    <w:div w:id="1607544928">
      <w:bodyDiv w:val="1"/>
      <w:marLeft w:val="0"/>
      <w:marRight w:val="0"/>
      <w:marTop w:val="0"/>
      <w:marBottom w:val="0"/>
      <w:divBdr>
        <w:top w:val="none" w:sz="0" w:space="0" w:color="auto"/>
        <w:left w:val="none" w:sz="0" w:space="0" w:color="auto"/>
        <w:bottom w:val="none" w:sz="0" w:space="0" w:color="auto"/>
        <w:right w:val="none" w:sz="0" w:space="0" w:color="auto"/>
      </w:divBdr>
    </w:div>
    <w:div w:id="1607545406">
      <w:bodyDiv w:val="1"/>
      <w:marLeft w:val="0"/>
      <w:marRight w:val="0"/>
      <w:marTop w:val="0"/>
      <w:marBottom w:val="0"/>
      <w:divBdr>
        <w:top w:val="none" w:sz="0" w:space="0" w:color="auto"/>
        <w:left w:val="none" w:sz="0" w:space="0" w:color="auto"/>
        <w:bottom w:val="none" w:sz="0" w:space="0" w:color="auto"/>
        <w:right w:val="none" w:sz="0" w:space="0" w:color="auto"/>
      </w:divBdr>
    </w:div>
    <w:div w:id="1609465249">
      <w:bodyDiv w:val="1"/>
      <w:marLeft w:val="0"/>
      <w:marRight w:val="0"/>
      <w:marTop w:val="0"/>
      <w:marBottom w:val="0"/>
      <w:divBdr>
        <w:top w:val="none" w:sz="0" w:space="0" w:color="auto"/>
        <w:left w:val="none" w:sz="0" w:space="0" w:color="auto"/>
        <w:bottom w:val="none" w:sz="0" w:space="0" w:color="auto"/>
        <w:right w:val="none" w:sz="0" w:space="0" w:color="auto"/>
      </w:divBdr>
    </w:div>
    <w:div w:id="1614092300">
      <w:bodyDiv w:val="1"/>
      <w:marLeft w:val="0"/>
      <w:marRight w:val="0"/>
      <w:marTop w:val="0"/>
      <w:marBottom w:val="0"/>
      <w:divBdr>
        <w:top w:val="none" w:sz="0" w:space="0" w:color="auto"/>
        <w:left w:val="none" w:sz="0" w:space="0" w:color="auto"/>
        <w:bottom w:val="none" w:sz="0" w:space="0" w:color="auto"/>
        <w:right w:val="none" w:sz="0" w:space="0" w:color="auto"/>
      </w:divBdr>
    </w:div>
    <w:div w:id="1630552004">
      <w:bodyDiv w:val="1"/>
      <w:marLeft w:val="0"/>
      <w:marRight w:val="0"/>
      <w:marTop w:val="0"/>
      <w:marBottom w:val="0"/>
      <w:divBdr>
        <w:top w:val="none" w:sz="0" w:space="0" w:color="auto"/>
        <w:left w:val="none" w:sz="0" w:space="0" w:color="auto"/>
        <w:bottom w:val="none" w:sz="0" w:space="0" w:color="auto"/>
        <w:right w:val="none" w:sz="0" w:space="0" w:color="auto"/>
      </w:divBdr>
    </w:div>
    <w:div w:id="1631478381">
      <w:bodyDiv w:val="1"/>
      <w:marLeft w:val="0"/>
      <w:marRight w:val="0"/>
      <w:marTop w:val="0"/>
      <w:marBottom w:val="0"/>
      <w:divBdr>
        <w:top w:val="none" w:sz="0" w:space="0" w:color="auto"/>
        <w:left w:val="none" w:sz="0" w:space="0" w:color="auto"/>
        <w:bottom w:val="none" w:sz="0" w:space="0" w:color="auto"/>
        <w:right w:val="none" w:sz="0" w:space="0" w:color="auto"/>
      </w:divBdr>
    </w:div>
    <w:div w:id="1634092286">
      <w:bodyDiv w:val="1"/>
      <w:marLeft w:val="0"/>
      <w:marRight w:val="0"/>
      <w:marTop w:val="0"/>
      <w:marBottom w:val="0"/>
      <w:divBdr>
        <w:top w:val="none" w:sz="0" w:space="0" w:color="auto"/>
        <w:left w:val="none" w:sz="0" w:space="0" w:color="auto"/>
        <w:bottom w:val="none" w:sz="0" w:space="0" w:color="auto"/>
        <w:right w:val="none" w:sz="0" w:space="0" w:color="auto"/>
      </w:divBdr>
    </w:div>
    <w:div w:id="1635214436">
      <w:bodyDiv w:val="1"/>
      <w:marLeft w:val="0"/>
      <w:marRight w:val="0"/>
      <w:marTop w:val="0"/>
      <w:marBottom w:val="0"/>
      <w:divBdr>
        <w:top w:val="none" w:sz="0" w:space="0" w:color="auto"/>
        <w:left w:val="none" w:sz="0" w:space="0" w:color="auto"/>
        <w:bottom w:val="none" w:sz="0" w:space="0" w:color="auto"/>
        <w:right w:val="none" w:sz="0" w:space="0" w:color="auto"/>
      </w:divBdr>
    </w:div>
    <w:div w:id="1639070883">
      <w:bodyDiv w:val="1"/>
      <w:marLeft w:val="0"/>
      <w:marRight w:val="0"/>
      <w:marTop w:val="0"/>
      <w:marBottom w:val="0"/>
      <w:divBdr>
        <w:top w:val="none" w:sz="0" w:space="0" w:color="auto"/>
        <w:left w:val="none" w:sz="0" w:space="0" w:color="auto"/>
        <w:bottom w:val="none" w:sz="0" w:space="0" w:color="auto"/>
        <w:right w:val="none" w:sz="0" w:space="0" w:color="auto"/>
      </w:divBdr>
    </w:div>
    <w:div w:id="1642343538">
      <w:bodyDiv w:val="1"/>
      <w:marLeft w:val="0"/>
      <w:marRight w:val="0"/>
      <w:marTop w:val="0"/>
      <w:marBottom w:val="0"/>
      <w:divBdr>
        <w:top w:val="none" w:sz="0" w:space="0" w:color="auto"/>
        <w:left w:val="none" w:sz="0" w:space="0" w:color="auto"/>
        <w:bottom w:val="none" w:sz="0" w:space="0" w:color="auto"/>
        <w:right w:val="none" w:sz="0" w:space="0" w:color="auto"/>
      </w:divBdr>
    </w:div>
    <w:div w:id="1649244891">
      <w:bodyDiv w:val="1"/>
      <w:marLeft w:val="0"/>
      <w:marRight w:val="0"/>
      <w:marTop w:val="0"/>
      <w:marBottom w:val="0"/>
      <w:divBdr>
        <w:top w:val="none" w:sz="0" w:space="0" w:color="auto"/>
        <w:left w:val="none" w:sz="0" w:space="0" w:color="auto"/>
        <w:bottom w:val="none" w:sz="0" w:space="0" w:color="auto"/>
        <w:right w:val="none" w:sz="0" w:space="0" w:color="auto"/>
      </w:divBdr>
    </w:div>
    <w:div w:id="1650750026">
      <w:bodyDiv w:val="1"/>
      <w:marLeft w:val="0"/>
      <w:marRight w:val="0"/>
      <w:marTop w:val="0"/>
      <w:marBottom w:val="0"/>
      <w:divBdr>
        <w:top w:val="none" w:sz="0" w:space="0" w:color="auto"/>
        <w:left w:val="none" w:sz="0" w:space="0" w:color="auto"/>
        <w:bottom w:val="none" w:sz="0" w:space="0" w:color="auto"/>
        <w:right w:val="none" w:sz="0" w:space="0" w:color="auto"/>
      </w:divBdr>
    </w:div>
    <w:div w:id="1660308742">
      <w:bodyDiv w:val="1"/>
      <w:marLeft w:val="0"/>
      <w:marRight w:val="0"/>
      <w:marTop w:val="0"/>
      <w:marBottom w:val="0"/>
      <w:divBdr>
        <w:top w:val="none" w:sz="0" w:space="0" w:color="auto"/>
        <w:left w:val="none" w:sz="0" w:space="0" w:color="auto"/>
        <w:bottom w:val="none" w:sz="0" w:space="0" w:color="auto"/>
        <w:right w:val="none" w:sz="0" w:space="0" w:color="auto"/>
      </w:divBdr>
    </w:div>
    <w:div w:id="1661692675">
      <w:bodyDiv w:val="1"/>
      <w:marLeft w:val="0"/>
      <w:marRight w:val="0"/>
      <w:marTop w:val="0"/>
      <w:marBottom w:val="0"/>
      <w:divBdr>
        <w:top w:val="none" w:sz="0" w:space="0" w:color="auto"/>
        <w:left w:val="none" w:sz="0" w:space="0" w:color="auto"/>
        <w:bottom w:val="none" w:sz="0" w:space="0" w:color="auto"/>
        <w:right w:val="none" w:sz="0" w:space="0" w:color="auto"/>
      </w:divBdr>
    </w:div>
    <w:div w:id="1662923410">
      <w:bodyDiv w:val="1"/>
      <w:marLeft w:val="0"/>
      <w:marRight w:val="0"/>
      <w:marTop w:val="0"/>
      <w:marBottom w:val="0"/>
      <w:divBdr>
        <w:top w:val="none" w:sz="0" w:space="0" w:color="auto"/>
        <w:left w:val="none" w:sz="0" w:space="0" w:color="auto"/>
        <w:bottom w:val="none" w:sz="0" w:space="0" w:color="auto"/>
        <w:right w:val="none" w:sz="0" w:space="0" w:color="auto"/>
      </w:divBdr>
    </w:div>
    <w:div w:id="1671370534">
      <w:bodyDiv w:val="1"/>
      <w:marLeft w:val="0"/>
      <w:marRight w:val="0"/>
      <w:marTop w:val="0"/>
      <w:marBottom w:val="0"/>
      <w:divBdr>
        <w:top w:val="none" w:sz="0" w:space="0" w:color="auto"/>
        <w:left w:val="none" w:sz="0" w:space="0" w:color="auto"/>
        <w:bottom w:val="none" w:sz="0" w:space="0" w:color="auto"/>
        <w:right w:val="none" w:sz="0" w:space="0" w:color="auto"/>
      </w:divBdr>
    </w:div>
    <w:div w:id="1680162525">
      <w:bodyDiv w:val="1"/>
      <w:marLeft w:val="0"/>
      <w:marRight w:val="0"/>
      <w:marTop w:val="0"/>
      <w:marBottom w:val="0"/>
      <w:divBdr>
        <w:top w:val="none" w:sz="0" w:space="0" w:color="auto"/>
        <w:left w:val="none" w:sz="0" w:space="0" w:color="auto"/>
        <w:bottom w:val="none" w:sz="0" w:space="0" w:color="auto"/>
        <w:right w:val="none" w:sz="0" w:space="0" w:color="auto"/>
      </w:divBdr>
    </w:div>
    <w:div w:id="1682775648">
      <w:bodyDiv w:val="1"/>
      <w:marLeft w:val="0"/>
      <w:marRight w:val="0"/>
      <w:marTop w:val="0"/>
      <w:marBottom w:val="0"/>
      <w:divBdr>
        <w:top w:val="none" w:sz="0" w:space="0" w:color="auto"/>
        <w:left w:val="none" w:sz="0" w:space="0" w:color="auto"/>
        <w:bottom w:val="none" w:sz="0" w:space="0" w:color="auto"/>
        <w:right w:val="none" w:sz="0" w:space="0" w:color="auto"/>
      </w:divBdr>
    </w:div>
    <w:div w:id="1684018316">
      <w:bodyDiv w:val="1"/>
      <w:marLeft w:val="0"/>
      <w:marRight w:val="0"/>
      <w:marTop w:val="0"/>
      <w:marBottom w:val="0"/>
      <w:divBdr>
        <w:top w:val="none" w:sz="0" w:space="0" w:color="auto"/>
        <w:left w:val="none" w:sz="0" w:space="0" w:color="auto"/>
        <w:bottom w:val="none" w:sz="0" w:space="0" w:color="auto"/>
        <w:right w:val="none" w:sz="0" w:space="0" w:color="auto"/>
      </w:divBdr>
    </w:div>
    <w:div w:id="1686513301">
      <w:bodyDiv w:val="1"/>
      <w:marLeft w:val="0"/>
      <w:marRight w:val="0"/>
      <w:marTop w:val="0"/>
      <w:marBottom w:val="0"/>
      <w:divBdr>
        <w:top w:val="none" w:sz="0" w:space="0" w:color="auto"/>
        <w:left w:val="none" w:sz="0" w:space="0" w:color="auto"/>
        <w:bottom w:val="none" w:sz="0" w:space="0" w:color="auto"/>
        <w:right w:val="none" w:sz="0" w:space="0" w:color="auto"/>
      </w:divBdr>
    </w:div>
    <w:div w:id="1687369074">
      <w:bodyDiv w:val="1"/>
      <w:marLeft w:val="0"/>
      <w:marRight w:val="0"/>
      <w:marTop w:val="0"/>
      <w:marBottom w:val="0"/>
      <w:divBdr>
        <w:top w:val="none" w:sz="0" w:space="0" w:color="auto"/>
        <w:left w:val="none" w:sz="0" w:space="0" w:color="auto"/>
        <w:bottom w:val="none" w:sz="0" w:space="0" w:color="auto"/>
        <w:right w:val="none" w:sz="0" w:space="0" w:color="auto"/>
      </w:divBdr>
    </w:div>
    <w:div w:id="1693215967">
      <w:bodyDiv w:val="1"/>
      <w:marLeft w:val="0"/>
      <w:marRight w:val="0"/>
      <w:marTop w:val="0"/>
      <w:marBottom w:val="0"/>
      <w:divBdr>
        <w:top w:val="none" w:sz="0" w:space="0" w:color="auto"/>
        <w:left w:val="none" w:sz="0" w:space="0" w:color="auto"/>
        <w:bottom w:val="none" w:sz="0" w:space="0" w:color="auto"/>
        <w:right w:val="none" w:sz="0" w:space="0" w:color="auto"/>
      </w:divBdr>
    </w:div>
    <w:div w:id="1693385497">
      <w:bodyDiv w:val="1"/>
      <w:marLeft w:val="0"/>
      <w:marRight w:val="0"/>
      <w:marTop w:val="0"/>
      <w:marBottom w:val="0"/>
      <w:divBdr>
        <w:top w:val="none" w:sz="0" w:space="0" w:color="auto"/>
        <w:left w:val="none" w:sz="0" w:space="0" w:color="auto"/>
        <w:bottom w:val="none" w:sz="0" w:space="0" w:color="auto"/>
        <w:right w:val="none" w:sz="0" w:space="0" w:color="auto"/>
      </w:divBdr>
    </w:div>
    <w:div w:id="1698114873">
      <w:bodyDiv w:val="1"/>
      <w:marLeft w:val="0"/>
      <w:marRight w:val="0"/>
      <w:marTop w:val="0"/>
      <w:marBottom w:val="0"/>
      <w:divBdr>
        <w:top w:val="none" w:sz="0" w:space="0" w:color="auto"/>
        <w:left w:val="none" w:sz="0" w:space="0" w:color="auto"/>
        <w:bottom w:val="none" w:sz="0" w:space="0" w:color="auto"/>
        <w:right w:val="none" w:sz="0" w:space="0" w:color="auto"/>
      </w:divBdr>
    </w:div>
    <w:div w:id="1710298776">
      <w:bodyDiv w:val="1"/>
      <w:marLeft w:val="0"/>
      <w:marRight w:val="0"/>
      <w:marTop w:val="0"/>
      <w:marBottom w:val="0"/>
      <w:divBdr>
        <w:top w:val="none" w:sz="0" w:space="0" w:color="auto"/>
        <w:left w:val="none" w:sz="0" w:space="0" w:color="auto"/>
        <w:bottom w:val="none" w:sz="0" w:space="0" w:color="auto"/>
        <w:right w:val="none" w:sz="0" w:space="0" w:color="auto"/>
      </w:divBdr>
    </w:div>
    <w:div w:id="1714191662">
      <w:bodyDiv w:val="1"/>
      <w:marLeft w:val="0"/>
      <w:marRight w:val="0"/>
      <w:marTop w:val="0"/>
      <w:marBottom w:val="0"/>
      <w:divBdr>
        <w:top w:val="none" w:sz="0" w:space="0" w:color="auto"/>
        <w:left w:val="none" w:sz="0" w:space="0" w:color="auto"/>
        <w:bottom w:val="none" w:sz="0" w:space="0" w:color="auto"/>
        <w:right w:val="none" w:sz="0" w:space="0" w:color="auto"/>
      </w:divBdr>
    </w:div>
    <w:div w:id="1722250312">
      <w:bodyDiv w:val="1"/>
      <w:marLeft w:val="0"/>
      <w:marRight w:val="0"/>
      <w:marTop w:val="0"/>
      <w:marBottom w:val="0"/>
      <w:divBdr>
        <w:top w:val="none" w:sz="0" w:space="0" w:color="auto"/>
        <w:left w:val="none" w:sz="0" w:space="0" w:color="auto"/>
        <w:bottom w:val="none" w:sz="0" w:space="0" w:color="auto"/>
        <w:right w:val="none" w:sz="0" w:space="0" w:color="auto"/>
      </w:divBdr>
    </w:div>
    <w:div w:id="1725790978">
      <w:bodyDiv w:val="1"/>
      <w:marLeft w:val="0"/>
      <w:marRight w:val="0"/>
      <w:marTop w:val="0"/>
      <w:marBottom w:val="0"/>
      <w:divBdr>
        <w:top w:val="none" w:sz="0" w:space="0" w:color="auto"/>
        <w:left w:val="none" w:sz="0" w:space="0" w:color="auto"/>
        <w:bottom w:val="none" w:sz="0" w:space="0" w:color="auto"/>
        <w:right w:val="none" w:sz="0" w:space="0" w:color="auto"/>
      </w:divBdr>
    </w:div>
    <w:div w:id="1730883940">
      <w:bodyDiv w:val="1"/>
      <w:marLeft w:val="0"/>
      <w:marRight w:val="0"/>
      <w:marTop w:val="0"/>
      <w:marBottom w:val="0"/>
      <w:divBdr>
        <w:top w:val="none" w:sz="0" w:space="0" w:color="auto"/>
        <w:left w:val="none" w:sz="0" w:space="0" w:color="auto"/>
        <w:bottom w:val="none" w:sz="0" w:space="0" w:color="auto"/>
        <w:right w:val="none" w:sz="0" w:space="0" w:color="auto"/>
      </w:divBdr>
    </w:div>
    <w:div w:id="1736316993">
      <w:bodyDiv w:val="1"/>
      <w:marLeft w:val="0"/>
      <w:marRight w:val="0"/>
      <w:marTop w:val="0"/>
      <w:marBottom w:val="0"/>
      <w:divBdr>
        <w:top w:val="none" w:sz="0" w:space="0" w:color="auto"/>
        <w:left w:val="none" w:sz="0" w:space="0" w:color="auto"/>
        <w:bottom w:val="none" w:sz="0" w:space="0" w:color="auto"/>
        <w:right w:val="none" w:sz="0" w:space="0" w:color="auto"/>
      </w:divBdr>
    </w:div>
    <w:div w:id="1737164174">
      <w:bodyDiv w:val="1"/>
      <w:marLeft w:val="0"/>
      <w:marRight w:val="0"/>
      <w:marTop w:val="0"/>
      <w:marBottom w:val="0"/>
      <w:divBdr>
        <w:top w:val="none" w:sz="0" w:space="0" w:color="auto"/>
        <w:left w:val="none" w:sz="0" w:space="0" w:color="auto"/>
        <w:bottom w:val="none" w:sz="0" w:space="0" w:color="auto"/>
        <w:right w:val="none" w:sz="0" w:space="0" w:color="auto"/>
      </w:divBdr>
    </w:div>
    <w:div w:id="1738287624">
      <w:bodyDiv w:val="1"/>
      <w:marLeft w:val="0"/>
      <w:marRight w:val="0"/>
      <w:marTop w:val="0"/>
      <w:marBottom w:val="0"/>
      <w:divBdr>
        <w:top w:val="none" w:sz="0" w:space="0" w:color="auto"/>
        <w:left w:val="none" w:sz="0" w:space="0" w:color="auto"/>
        <w:bottom w:val="none" w:sz="0" w:space="0" w:color="auto"/>
        <w:right w:val="none" w:sz="0" w:space="0" w:color="auto"/>
      </w:divBdr>
    </w:div>
    <w:div w:id="1747989937">
      <w:bodyDiv w:val="1"/>
      <w:marLeft w:val="0"/>
      <w:marRight w:val="0"/>
      <w:marTop w:val="0"/>
      <w:marBottom w:val="0"/>
      <w:divBdr>
        <w:top w:val="none" w:sz="0" w:space="0" w:color="auto"/>
        <w:left w:val="none" w:sz="0" w:space="0" w:color="auto"/>
        <w:bottom w:val="none" w:sz="0" w:space="0" w:color="auto"/>
        <w:right w:val="none" w:sz="0" w:space="0" w:color="auto"/>
      </w:divBdr>
    </w:div>
    <w:div w:id="1752193214">
      <w:bodyDiv w:val="1"/>
      <w:marLeft w:val="0"/>
      <w:marRight w:val="0"/>
      <w:marTop w:val="0"/>
      <w:marBottom w:val="0"/>
      <w:divBdr>
        <w:top w:val="none" w:sz="0" w:space="0" w:color="auto"/>
        <w:left w:val="none" w:sz="0" w:space="0" w:color="auto"/>
        <w:bottom w:val="none" w:sz="0" w:space="0" w:color="auto"/>
        <w:right w:val="none" w:sz="0" w:space="0" w:color="auto"/>
      </w:divBdr>
    </w:div>
    <w:div w:id="1756248176">
      <w:bodyDiv w:val="1"/>
      <w:marLeft w:val="0"/>
      <w:marRight w:val="0"/>
      <w:marTop w:val="0"/>
      <w:marBottom w:val="0"/>
      <w:divBdr>
        <w:top w:val="none" w:sz="0" w:space="0" w:color="auto"/>
        <w:left w:val="none" w:sz="0" w:space="0" w:color="auto"/>
        <w:bottom w:val="none" w:sz="0" w:space="0" w:color="auto"/>
        <w:right w:val="none" w:sz="0" w:space="0" w:color="auto"/>
      </w:divBdr>
    </w:div>
    <w:div w:id="1765883668">
      <w:bodyDiv w:val="1"/>
      <w:marLeft w:val="0"/>
      <w:marRight w:val="0"/>
      <w:marTop w:val="0"/>
      <w:marBottom w:val="0"/>
      <w:divBdr>
        <w:top w:val="none" w:sz="0" w:space="0" w:color="auto"/>
        <w:left w:val="none" w:sz="0" w:space="0" w:color="auto"/>
        <w:bottom w:val="none" w:sz="0" w:space="0" w:color="auto"/>
        <w:right w:val="none" w:sz="0" w:space="0" w:color="auto"/>
      </w:divBdr>
    </w:div>
    <w:div w:id="1766878848">
      <w:bodyDiv w:val="1"/>
      <w:marLeft w:val="0"/>
      <w:marRight w:val="0"/>
      <w:marTop w:val="0"/>
      <w:marBottom w:val="0"/>
      <w:divBdr>
        <w:top w:val="none" w:sz="0" w:space="0" w:color="auto"/>
        <w:left w:val="none" w:sz="0" w:space="0" w:color="auto"/>
        <w:bottom w:val="none" w:sz="0" w:space="0" w:color="auto"/>
        <w:right w:val="none" w:sz="0" w:space="0" w:color="auto"/>
      </w:divBdr>
    </w:div>
    <w:div w:id="1769156812">
      <w:bodyDiv w:val="1"/>
      <w:marLeft w:val="0"/>
      <w:marRight w:val="0"/>
      <w:marTop w:val="0"/>
      <w:marBottom w:val="0"/>
      <w:divBdr>
        <w:top w:val="none" w:sz="0" w:space="0" w:color="auto"/>
        <w:left w:val="none" w:sz="0" w:space="0" w:color="auto"/>
        <w:bottom w:val="none" w:sz="0" w:space="0" w:color="auto"/>
        <w:right w:val="none" w:sz="0" w:space="0" w:color="auto"/>
      </w:divBdr>
    </w:div>
    <w:div w:id="1786653261">
      <w:bodyDiv w:val="1"/>
      <w:marLeft w:val="0"/>
      <w:marRight w:val="0"/>
      <w:marTop w:val="0"/>
      <w:marBottom w:val="0"/>
      <w:divBdr>
        <w:top w:val="none" w:sz="0" w:space="0" w:color="auto"/>
        <w:left w:val="none" w:sz="0" w:space="0" w:color="auto"/>
        <w:bottom w:val="none" w:sz="0" w:space="0" w:color="auto"/>
        <w:right w:val="none" w:sz="0" w:space="0" w:color="auto"/>
      </w:divBdr>
      <w:divsChild>
        <w:div w:id="1355040352">
          <w:marLeft w:val="0"/>
          <w:marRight w:val="0"/>
          <w:marTop w:val="0"/>
          <w:marBottom w:val="0"/>
          <w:divBdr>
            <w:top w:val="none" w:sz="0" w:space="0" w:color="auto"/>
            <w:left w:val="none" w:sz="0" w:space="0" w:color="auto"/>
            <w:bottom w:val="none" w:sz="0" w:space="0" w:color="auto"/>
            <w:right w:val="none" w:sz="0" w:space="0" w:color="auto"/>
          </w:divBdr>
          <w:divsChild>
            <w:div w:id="1125079839">
              <w:marLeft w:val="0"/>
              <w:marRight w:val="0"/>
              <w:marTop w:val="0"/>
              <w:marBottom w:val="0"/>
              <w:divBdr>
                <w:top w:val="none" w:sz="0" w:space="0" w:color="auto"/>
                <w:left w:val="none" w:sz="0" w:space="0" w:color="auto"/>
                <w:bottom w:val="none" w:sz="0" w:space="0" w:color="auto"/>
                <w:right w:val="none" w:sz="0" w:space="0" w:color="auto"/>
              </w:divBdr>
              <w:divsChild>
                <w:div w:id="29676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53993">
      <w:bodyDiv w:val="1"/>
      <w:marLeft w:val="0"/>
      <w:marRight w:val="0"/>
      <w:marTop w:val="0"/>
      <w:marBottom w:val="0"/>
      <w:divBdr>
        <w:top w:val="none" w:sz="0" w:space="0" w:color="auto"/>
        <w:left w:val="none" w:sz="0" w:space="0" w:color="auto"/>
        <w:bottom w:val="none" w:sz="0" w:space="0" w:color="auto"/>
        <w:right w:val="none" w:sz="0" w:space="0" w:color="auto"/>
      </w:divBdr>
    </w:div>
    <w:div w:id="1790784925">
      <w:bodyDiv w:val="1"/>
      <w:marLeft w:val="0"/>
      <w:marRight w:val="0"/>
      <w:marTop w:val="0"/>
      <w:marBottom w:val="0"/>
      <w:divBdr>
        <w:top w:val="none" w:sz="0" w:space="0" w:color="auto"/>
        <w:left w:val="none" w:sz="0" w:space="0" w:color="auto"/>
        <w:bottom w:val="none" w:sz="0" w:space="0" w:color="auto"/>
        <w:right w:val="none" w:sz="0" w:space="0" w:color="auto"/>
      </w:divBdr>
    </w:div>
    <w:div w:id="1792481447">
      <w:bodyDiv w:val="1"/>
      <w:marLeft w:val="0"/>
      <w:marRight w:val="0"/>
      <w:marTop w:val="0"/>
      <w:marBottom w:val="0"/>
      <w:divBdr>
        <w:top w:val="none" w:sz="0" w:space="0" w:color="auto"/>
        <w:left w:val="none" w:sz="0" w:space="0" w:color="auto"/>
        <w:bottom w:val="none" w:sz="0" w:space="0" w:color="auto"/>
        <w:right w:val="none" w:sz="0" w:space="0" w:color="auto"/>
      </w:divBdr>
    </w:div>
    <w:div w:id="1794128265">
      <w:bodyDiv w:val="1"/>
      <w:marLeft w:val="0"/>
      <w:marRight w:val="0"/>
      <w:marTop w:val="0"/>
      <w:marBottom w:val="0"/>
      <w:divBdr>
        <w:top w:val="none" w:sz="0" w:space="0" w:color="auto"/>
        <w:left w:val="none" w:sz="0" w:space="0" w:color="auto"/>
        <w:bottom w:val="none" w:sz="0" w:space="0" w:color="auto"/>
        <w:right w:val="none" w:sz="0" w:space="0" w:color="auto"/>
      </w:divBdr>
    </w:div>
    <w:div w:id="1797022870">
      <w:bodyDiv w:val="1"/>
      <w:marLeft w:val="0"/>
      <w:marRight w:val="0"/>
      <w:marTop w:val="0"/>
      <w:marBottom w:val="0"/>
      <w:divBdr>
        <w:top w:val="none" w:sz="0" w:space="0" w:color="auto"/>
        <w:left w:val="none" w:sz="0" w:space="0" w:color="auto"/>
        <w:bottom w:val="none" w:sz="0" w:space="0" w:color="auto"/>
        <w:right w:val="none" w:sz="0" w:space="0" w:color="auto"/>
      </w:divBdr>
    </w:div>
    <w:div w:id="1799299485">
      <w:bodyDiv w:val="1"/>
      <w:marLeft w:val="0"/>
      <w:marRight w:val="0"/>
      <w:marTop w:val="0"/>
      <w:marBottom w:val="0"/>
      <w:divBdr>
        <w:top w:val="none" w:sz="0" w:space="0" w:color="auto"/>
        <w:left w:val="none" w:sz="0" w:space="0" w:color="auto"/>
        <w:bottom w:val="none" w:sz="0" w:space="0" w:color="auto"/>
        <w:right w:val="none" w:sz="0" w:space="0" w:color="auto"/>
      </w:divBdr>
    </w:div>
    <w:div w:id="1802989832">
      <w:bodyDiv w:val="1"/>
      <w:marLeft w:val="0"/>
      <w:marRight w:val="0"/>
      <w:marTop w:val="0"/>
      <w:marBottom w:val="0"/>
      <w:divBdr>
        <w:top w:val="none" w:sz="0" w:space="0" w:color="auto"/>
        <w:left w:val="none" w:sz="0" w:space="0" w:color="auto"/>
        <w:bottom w:val="none" w:sz="0" w:space="0" w:color="auto"/>
        <w:right w:val="none" w:sz="0" w:space="0" w:color="auto"/>
      </w:divBdr>
    </w:div>
    <w:div w:id="1810317658">
      <w:bodyDiv w:val="1"/>
      <w:marLeft w:val="0"/>
      <w:marRight w:val="0"/>
      <w:marTop w:val="0"/>
      <w:marBottom w:val="0"/>
      <w:divBdr>
        <w:top w:val="none" w:sz="0" w:space="0" w:color="auto"/>
        <w:left w:val="none" w:sz="0" w:space="0" w:color="auto"/>
        <w:bottom w:val="none" w:sz="0" w:space="0" w:color="auto"/>
        <w:right w:val="none" w:sz="0" w:space="0" w:color="auto"/>
      </w:divBdr>
    </w:div>
    <w:div w:id="1822622992">
      <w:bodyDiv w:val="1"/>
      <w:marLeft w:val="0"/>
      <w:marRight w:val="0"/>
      <w:marTop w:val="0"/>
      <w:marBottom w:val="0"/>
      <w:divBdr>
        <w:top w:val="none" w:sz="0" w:space="0" w:color="auto"/>
        <w:left w:val="none" w:sz="0" w:space="0" w:color="auto"/>
        <w:bottom w:val="none" w:sz="0" w:space="0" w:color="auto"/>
        <w:right w:val="none" w:sz="0" w:space="0" w:color="auto"/>
      </w:divBdr>
    </w:div>
    <w:div w:id="1824734302">
      <w:bodyDiv w:val="1"/>
      <w:marLeft w:val="0"/>
      <w:marRight w:val="0"/>
      <w:marTop w:val="0"/>
      <w:marBottom w:val="0"/>
      <w:divBdr>
        <w:top w:val="none" w:sz="0" w:space="0" w:color="auto"/>
        <w:left w:val="none" w:sz="0" w:space="0" w:color="auto"/>
        <w:bottom w:val="none" w:sz="0" w:space="0" w:color="auto"/>
        <w:right w:val="none" w:sz="0" w:space="0" w:color="auto"/>
      </w:divBdr>
    </w:div>
    <w:div w:id="1826555593">
      <w:bodyDiv w:val="1"/>
      <w:marLeft w:val="0"/>
      <w:marRight w:val="0"/>
      <w:marTop w:val="0"/>
      <w:marBottom w:val="0"/>
      <w:divBdr>
        <w:top w:val="none" w:sz="0" w:space="0" w:color="auto"/>
        <w:left w:val="none" w:sz="0" w:space="0" w:color="auto"/>
        <w:bottom w:val="none" w:sz="0" w:space="0" w:color="auto"/>
        <w:right w:val="none" w:sz="0" w:space="0" w:color="auto"/>
      </w:divBdr>
    </w:div>
    <w:div w:id="1831868888">
      <w:bodyDiv w:val="1"/>
      <w:marLeft w:val="0"/>
      <w:marRight w:val="0"/>
      <w:marTop w:val="0"/>
      <w:marBottom w:val="0"/>
      <w:divBdr>
        <w:top w:val="none" w:sz="0" w:space="0" w:color="auto"/>
        <w:left w:val="none" w:sz="0" w:space="0" w:color="auto"/>
        <w:bottom w:val="none" w:sz="0" w:space="0" w:color="auto"/>
        <w:right w:val="none" w:sz="0" w:space="0" w:color="auto"/>
      </w:divBdr>
    </w:div>
    <w:div w:id="1834949640">
      <w:bodyDiv w:val="1"/>
      <w:marLeft w:val="0"/>
      <w:marRight w:val="0"/>
      <w:marTop w:val="0"/>
      <w:marBottom w:val="0"/>
      <w:divBdr>
        <w:top w:val="none" w:sz="0" w:space="0" w:color="auto"/>
        <w:left w:val="none" w:sz="0" w:space="0" w:color="auto"/>
        <w:bottom w:val="none" w:sz="0" w:space="0" w:color="auto"/>
        <w:right w:val="none" w:sz="0" w:space="0" w:color="auto"/>
      </w:divBdr>
    </w:div>
    <w:div w:id="1845365340">
      <w:bodyDiv w:val="1"/>
      <w:marLeft w:val="0"/>
      <w:marRight w:val="0"/>
      <w:marTop w:val="0"/>
      <w:marBottom w:val="0"/>
      <w:divBdr>
        <w:top w:val="none" w:sz="0" w:space="0" w:color="auto"/>
        <w:left w:val="none" w:sz="0" w:space="0" w:color="auto"/>
        <w:bottom w:val="none" w:sz="0" w:space="0" w:color="auto"/>
        <w:right w:val="none" w:sz="0" w:space="0" w:color="auto"/>
      </w:divBdr>
    </w:div>
    <w:div w:id="1847016790">
      <w:bodyDiv w:val="1"/>
      <w:marLeft w:val="0"/>
      <w:marRight w:val="0"/>
      <w:marTop w:val="0"/>
      <w:marBottom w:val="0"/>
      <w:divBdr>
        <w:top w:val="none" w:sz="0" w:space="0" w:color="auto"/>
        <w:left w:val="none" w:sz="0" w:space="0" w:color="auto"/>
        <w:bottom w:val="none" w:sz="0" w:space="0" w:color="auto"/>
        <w:right w:val="none" w:sz="0" w:space="0" w:color="auto"/>
      </w:divBdr>
    </w:div>
    <w:div w:id="1851598341">
      <w:bodyDiv w:val="1"/>
      <w:marLeft w:val="0"/>
      <w:marRight w:val="0"/>
      <w:marTop w:val="0"/>
      <w:marBottom w:val="0"/>
      <w:divBdr>
        <w:top w:val="none" w:sz="0" w:space="0" w:color="auto"/>
        <w:left w:val="none" w:sz="0" w:space="0" w:color="auto"/>
        <w:bottom w:val="none" w:sz="0" w:space="0" w:color="auto"/>
        <w:right w:val="none" w:sz="0" w:space="0" w:color="auto"/>
      </w:divBdr>
    </w:div>
    <w:div w:id="1853257150">
      <w:bodyDiv w:val="1"/>
      <w:marLeft w:val="0"/>
      <w:marRight w:val="0"/>
      <w:marTop w:val="0"/>
      <w:marBottom w:val="0"/>
      <w:divBdr>
        <w:top w:val="none" w:sz="0" w:space="0" w:color="auto"/>
        <w:left w:val="none" w:sz="0" w:space="0" w:color="auto"/>
        <w:bottom w:val="none" w:sz="0" w:space="0" w:color="auto"/>
        <w:right w:val="none" w:sz="0" w:space="0" w:color="auto"/>
      </w:divBdr>
    </w:div>
    <w:div w:id="1859461269">
      <w:bodyDiv w:val="1"/>
      <w:marLeft w:val="0"/>
      <w:marRight w:val="0"/>
      <w:marTop w:val="0"/>
      <w:marBottom w:val="0"/>
      <w:divBdr>
        <w:top w:val="none" w:sz="0" w:space="0" w:color="auto"/>
        <w:left w:val="none" w:sz="0" w:space="0" w:color="auto"/>
        <w:bottom w:val="none" w:sz="0" w:space="0" w:color="auto"/>
        <w:right w:val="none" w:sz="0" w:space="0" w:color="auto"/>
      </w:divBdr>
    </w:div>
    <w:div w:id="1866208819">
      <w:bodyDiv w:val="1"/>
      <w:marLeft w:val="0"/>
      <w:marRight w:val="0"/>
      <w:marTop w:val="0"/>
      <w:marBottom w:val="0"/>
      <w:divBdr>
        <w:top w:val="none" w:sz="0" w:space="0" w:color="auto"/>
        <w:left w:val="none" w:sz="0" w:space="0" w:color="auto"/>
        <w:bottom w:val="none" w:sz="0" w:space="0" w:color="auto"/>
        <w:right w:val="none" w:sz="0" w:space="0" w:color="auto"/>
      </w:divBdr>
    </w:div>
    <w:div w:id="1875187545">
      <w:bodyDiv w:val="1"/>
      <w:marLeft w:val="0"/>
      <w:marRight w:val="0"/>
      <w:marTop w:val="0"/>
      <w:marBottom w:val="0"/>
      <w:divBdr>
        <w:top w:val="none" w:sz="0" w:space="0" w:color="auto"/>
        <w:left w:val="none" w:sz="0" w:space="0" w:color="auto"/>
        <w:bottom w:val="none" w:sz="0" w:space="0" w:color="auto"/>
        <w:right w:val="none" w:sz="0" w:space="0" w:color="auto"/>
      </w:divBdr>
    </w:div>
    <w:div w:id="1881088310">
      <w:bodyDiv w:val="1"/>
      <w:marLeft w:val="0"/>
      <w:marRight w:val="0"/>
      <w:marTop w:val="0"/>
      <w:marBottom w:val="0"/>
      <w:divBdr>
        <w:top w:val="none" w:sz="0" w:space="0" w:color="auto"/>
        <w:left w:val="none" w:sz="0" w:space="0" w:color="auto"/>
        <w:bottom w:val="none" w:sz="0" w:space="0" w:color="auto"/>
        <w:right w:val="none" w:sz="0" w:space="0" w:color="auto"/>
      </w:divBdr>
    </w:div>
    <w:div w:id="1882398418">
      <w:bodyDiv w:val="1"/>
      <w:marLeft w:val="0"/>
      <w:marRight w:val="0"/>
      <w:marTop w:val="0"/>
      <w:marBottom w:val="0"/>
      <w:divBdr>
        <w:top w:val="none" w:sz="0" w:space="0" w:color="auto"/>
        <w:left w:val="none" w:sz="0" w:space="0" w:color="auto"/>
        <w:bottom w:val="none" w:sz="0" w:space="0" w:color="auto"/>
        <w:right w:val="none" w:sz="0" w:space="0" w:color="auto"/>
      </w:divBdr>
    </w:div>
    <w:div w:id="1882473559">
      <w:bodyDiv w:val="1"/>
      <w:marLeft w:val="0"/>
      <w:marRight w:val="0"/>
      <w:marTop w:val="0"/>
      <w:marBottom w:val="0"/>
      <w:divBdr>
        <w:top w:val="none" w:sz="0" w:space="0" w:color="auto"/>
        <w:left w:val="none" w:sz="0" w:space="0" w:color="auto"/>
        <w:bottom w:val="none" w:sz="0" w:space="0" w:color="auto"/>
        <w:right w:val="none" w:sz="0" w:space="0" w:color="auto"/>
      </w:divBdr>
    </w:div>
    <w:div w:id="1903981978">
      <w:bodyDiv w:val="1"/>
      <w:marLeft w:val="0"/>
      <w:marRight w:val="0"/>
      <w:marTop w:val="0"/>
      <w:marBottom w:val="0"/>
      <w:divBdr>
        <w:top w:val="none" w:sz="0" w:space="0" w:color="auto"/>
        <w:left w:val="none" w:sz="0" w:space="0" w:color="auto"/>
        <w:bottom w:val="none" w:sz="0" w:space="0" w:color="auto"/>
        <w:right w:val="none" w:sz="0" w:space="0" w:color="auto"/>
      </w:divBdr>
    </w:div>
    <w:div w:id="1904874834">
      <w:bodyDiv w:val="1"/>
      <w:marLeft w:val="0"/>
      <w:marRight w:val="0"/>
      <w:marTop w:val="0"/>
      <w:marBottom w:val="0"/>
      <w:divBdr>
        <w:top w:val="none" w:sz="0" w:space="0" w:color="auto"/>
        <w:left w:val="none" w:sz="0" w:space="0" w:color="auto"/>
        <w:bottom w:val="none" w:sz="0" w:space="0" w:color="auto"/>
        <w:right w:val="none" w:sz="0" w:space="0" w:color="auto"/>
      </w:divBdr>
    </w:div>
    <w:div w:id="1907958950">
      <w:bodyDiv w:val="1"/>
      <w:marLeft w:val="0"/>
      <w:marRight w:val="0"/>
      <w:marTop w:val="0"/>
      <w:marBottom w:val="0"/>
      <w:divBdr>
        <w:top w:val="none" w:sz="0" w:space="0" w:color="auto"/>
        <w:left w:val="none" w:sz="0" w:space="0" w:color="auto"/>
        <w:bottom w:val="none" w:sz="0" w:space="0" w:color="auto"/>
        <w:right w:val="none" w:sz="0" w:space="0" w:color="auto"/>
      </w:divBdr>
    </w:div>
    <w:div w:id="1908421794">
      <w:bodyDiv w:val="1"/>
      <w:marLeft w:val="0"/>
      <w:marRight w:val="0"/>
      <w:marTop w:val="0"/>
      <w:marBottom w:val="0"/>
      <w:divBdr>
        <w:top w:val="none" w:sz="0" w:space="0" w:color="auto"/>
        <w:left w:val="none" w:sz="0" w:space="0" w:color="auto"/>
        <w:bottom w:val="none" w:sz="0" w:space="0" w:color="auto"/>
        <w:right w:val="none" w:sz="0" w:space="0" w:color="auto"/>
      </w:divBdr>
    </w:div>
    <w:div w:id="1914465919">
      <w:bodyDiv w:val="1"/>
      <w:marLeft w:val="0"/>
      <w:marRight w:val="0"/>
      <w:marTop w:val="0"/>
      <w:marBottom w:val="0"/>
      <w:divBdr>
        <w:top w:val="none" w:sz="0" w:space="0" w:color="auto"/>
        <w:left w:val="none" w:sz="0" w:space="0" w:color="auto"/>
        <w:bottom w:val="none" w:sz="0" w:space="0" w:color="auto"/>
        <w:right w:val="none" w:sz="0" w:space="0" w:color="auto"/>
      </w:divBdr>
    </w:div>
    <w:div w:id="1916353145">
      <w:bodyDiv w:val="1"/>
      <w:marLeft w:val="0"/>
      <w:marRight w:val="0"/>
      <w:marTop w:val="0"/>
      <w:marBottom w:val="0"/>
      <w:divBdr>
        <w:top w:val="none" w:sz="0" w:space="0" w:color="auto"/>
        <w:left w:val="none" w:sz="0" w:space="0" w:color="auto"/>
        <w:bottom w:val="none" w:sz="0" w:space="0" w:color="auto"/>
        <w:right w:val="none" w:sz="0" w:space="0" w:color="auto"/>
      </w:divBdr>
    </w:div>
    <w:div w:id="1920481058">
      <w:bodyDiv w:val="1"/>
      <w:marLeft w:val="0"/>
      <w:marRight w:val="0"/>
      <w:marTop w:val="0"/>
      <w:marBottom w:val="0"/>
      <w:divBdr>
        <w:top w:val="none" w:sz="0" w:space="0" w:color="auto"/>
        <w:left w:val="none" w:sz="0" w:space="0" w:color="auto"/>
        <w:bottom w:val="none" w:sz="0" w:space="0" w:color="auto"/>
        <w:right w:val="none" w:sz="0" w:space="0" w:color="auto"/>
      </w:divBdr>
    </w:div>
    <w:div w:id="1939828442">
      <w:bodyDiv w:val="1"/>
      <w:marLeft w:val="0"/>
      <w:marRight w:val="0"/>
      <w:marTop w:val="0"/>
      <w:marBottom w:val="0"/>
      <w:divBdr>
        <w:top w:val="none" w:sz="0" w:space="0" w:color="auto"/>
        <w:left w:val="none" w:sz="0" w:space="0" w:color="auto"/>
        <w:bottom w:val="none" w:sz="0" w:space="0" w:color="auto"/>
        <w:right w:val="none" w:sz="0" w:space="0" w:color="auto"/>
      </w:divBdr>
    </w:div>
    <w:div w:id="1941528919">
      <w:bodyDiv w:val="1"/>
      <w:marLeft w:val="0"/>
      <w:marRight w:val="0"/>
      <w:marTop w:val="0"/>
      <w:marBottom w:val="0"/>
      <w:divBdr>
        <w:top w:val="none" w:sz="0" w:space="0" w:color="auto"/>
        <w:left w:val="none" w:sz="0" w:space="0" w:color="auto"/>
        <w:bottom w:val="none" w:sz="0" w:space="0" w:color="auto"/>
        <w:right w:val="none" w:sz="0" w:space="0" w:color="auto"/>
      </w:divBdr>
    </w:div>
    <w:div w:id="1946576239">
      <w:bodyDiv w:val="1"/>
      <w:marLeft w:val="0"/>
      <w:marRight w:val="0"/>
      <w:marTop w:val="0"/>
      <w:marBottom w:val="0"/>
      <w:divBdr>
        <w:top w:val="none" w:sz="0" w:space="0" w:color="auto"/>
        <w:left w:val="none" w:sz="0" w:space="0" w:color="auto"/>
        <w:bottom w:val="none" w:sz="0" w:space="0" w:color="auto"/>
        <w:right w:val="none" w:sz="0" w:space="0" w:color="auto"/>
      </w:divBdr>
    </w:div>
    <w:div w:id="1959022713">
      <w:bodyDiv w:val="1"/>
      <w:marLeft w:val="0"/>
      <w:marRight w:val="0"/>
      <w:marTop w:val="0"/>
      <w:marBottom w:val="0"/>
      <w:divBdr>
        <w:top w:val="none" w:sz="0" w:space="0" w:color="auto"/>
        <w:left w:val="none" w:sz="0" w:space="0" w:color="auto"/>
        <w:bottom w:val="none" w:sz="0" w:space="0" w:color="auto"/>
        <w:right w:val="none" w:sz="0" w:space="0" w:color="auto"/>
      </w:divBdr>
    </w:div>
    <w:div w:id="1965229360">
      <w:bodyDiv w:val="1"/>
      <w:marLeft w:val="0"/>
      <w:marRight w:val="0"/>
      <w:marTop w:val="0"/>
      <w:marBottom w:val="0"/>
      <w:divBdr>
        <w:top w:val="none" w:sz="0" w:space="0" w:color="auto"/>
        <w:left w:val="none" w:sz="0" w:space="0" w:color="auto"/>
        <w:bottom w:val="none" w:sz="0" w:space="0" w:color="auto"/>
        <w:right w:val="none" w:sz="0" w:space="0" w:color="auto"/>
      </w:divBdr>
    </w:div>
    <w:div w:id="1967083125">
      <w:bodyDiv w:val="1"/>
      <w:marLeft w:val="0"/>
      <w:marRight w:val="0"/>
      <w:marTop w:val="0"/>
      <w:marBottom w:val="0"/>
      <w:divBdr>
        <w:top w:val="none" w:sz="0" w:space="0" w:color="auto"/>
        <w:left w:val="none" w:sz="0" w:space="0" w:color="auto"/>
        <w:bottom w:val="none" w:sz="0" w:space="0" w:color="auto"/>
        <w:right w:val="none" w:sz="0" w:space="0" w:color="auto"/>
      </w:divBdr>
    </w:div>
    <w:div w:id="1967154129">
      <w:bodyDiv w:val="1"/>
      <w:marLeft w:val="0"/>
      <w:marRight w:val="0"/>
      <w:marTop w:val="0"/>
      <w:marBottom w:val="0"/>
      <w:divBdr>
        <w:top w:val="none" w:sz="0" w:space="0" w:color="auto"/>
        <w:left w:val="none" w:sz="0" w:space="0" w:color="auto"/>
        <w:bottom w:val="none" w:sz="0" w:space="0" w:color="auto"/>
        <w:right w:val="none" w:sz="0" w:space="0" w:color="auto"/>
      </w:divBdr>
    </w:div>
    <w:div w:id="1970894132">
      <w:bodyDiv w:val="1"/>
      <w:marLeft w:val="0"/>
      <w:marRight w:val="0"/>
      <w:marTop w:val="0"/>
      <w:marBottom w:val="0"/>
      <w:divBdr>
        <w:top w:val="none" w:sz="0" w:space="0" w:color="auto"/>
        <w:left w:val="none" w:sz="0" w:space="0" w:color="auto"/>
        <w:bottom w:val="none" w:sz="0" w:space="0" w:color="auto"/>
        <w:right w:val="none" w:sz="0" w:space="0" w:color="auto"/>
      </w:divBdr>
    </w:div>
    <w:div w:id="1976334109">
      <w:bodyDiv w:val="1"/>
      <w:marLeft w:val="0"/>
      <w:marRight w:val="0"/>
      <w:marTop w:val="0"/>
      <w:marBottom w:val="0"/>
      <w:divBdr>
        <w:top w:val="none" w:sz="0" w:space="0" w:color="auto"/>
        <w:left w:val="none" w:sz="0" w:space="0" w:color="auto"/>
        <w:bottom w:val="none" w:sz="0" w:space="0" w:color="auto"/>
        <w:right w:val="none" w:sz="0" w:space="0" w:color="auto"/>
      </w:divBdr>
    </w:div>
    <w:div w:id="1985354647">
      <w:bodyDiv w:val="1"/>
      <w:marLeft w:val="0"/>
      <w:marRight w:val="0"/>
      <w:marTop w:val="0"/>
      <w:marBottom w:val="0"/>
      <w:divBdr>
        <w:top w:val="none" w:sz="0" w:space="0" w:color="auto"/>
        <w:left w:val="none" w:sz="0" w:space="0" w:color="auto"/>
        <w:bottom w:val="none" w:sz="0" w:space="0" w:color="auto"/>
        <w:right w:val="none" w:sz="0" w:space="0" w:color="auto"/>
      </w:divBdr>
    </w:div>
    <w:div w:id="1986809220">
      <w:bodyDiv w:val="1"/>
      <w:marLeft w:val="0"/>
      <w:marRight w:val="0"/>
      <w:marTop w:val="0"/>
      <w:marBottom w:val="0"/>
      <w:divBdr>
        <w:top w:val="none" w:sz="0" w:space="0" w:color="auto"/>
        <w:left w:val="none" w:sz="0" w:space="0" w:color="auto"/>
        <w:bottom w:val="none" w:sz="0" w:space="0" w:color="auto"/>
        <w:right w:val="none" w:sz="0" w:space="0" w:color="auto"/>
      </w:divBdr>
    </w:div>
    <w:div w:id="1995067867">
      <w:bodyDiv w:val="1"/>
      <w:marLeft w:val="0"/>
      <w:marRight w:val="0"/>
      <w:marTop w:val="0"/>
      <w:marBottom w:val="0"/>
      <w:divBdr>
        <w:top w:val="none" w:sz="0" w:space="0" w:color="auto"/>
        <w:left w:val="none" w:sz="0" w:space="0" w:color="auto"/>
        <w:bottom w:val="none" w:sz="0" w:space="0" w:color="auto"/>
        <w:right w:val="none" w:sz="0" w:space="0" w:color="auto"/>
      </w:divBdr>
    </w:div>
    <w:div w:id="2000499748">
      <w:bodyDiv w:val="1"/>
      <w:marLeft w:val="0"/>
      <w:marRight w:val="0"/>
      <w:marTop w:val="0"/>
      <w:marBottom w:val="0"/>
      <w:divBdr>
        <w:top w:val="none" w:sz="0" w:space="0" w:color="auto"/>
        <w:left w:val="none" w:sz="0" w:space="0" w:color="auto"/>
        <w:bottom w:val="none" w:sz="0" w:space="0" w:color="auto"/>
        <w:right w:val="none" w:sz="0" w:space="0" w:color="auto"/>
      </w:divBdr>
    </w:div>
    <w:div w:id="2010255538">
      <w:bodyDiv w:val="1"/>
      <w:marLeft w:val="0"/>
      <w:marRight w:val="0"/>
      <w:marTop w:val="0"/>
      <w:marBottom w:val="0"/>
      <w:divBdr>
        <w:top w:val="none" w:sz="0" w:space="0" w:color="auto"/>
        <w:left w:val="none" w:sz="0" w:space="0" w:color="auto"/>
        <w:bottom w:val="none" w:sz="0" w:space="0" w:color="auto"/>
        <w:right w:val="none" w:sz="0" w:space="0" w:color="auto"/>
      </w:divBdr>
    </w:div>
    <w:div w:id="2010450490">
      <w:bodyDiv w:val="1"/>
      <w:marLeft w:val="0"/>
      <w:marRight w:val="0"/>
      <w:marTop w:val="0"/>
      <w:marBottom w:val="0"/>
      <w:divBdr>
        <w:top w:val="none" w:sz="0" w:space="0" w:color="auto"/>
        <w:left w:val="none" w:sz="0" w:space="0" w:color="auto"/>
        <w:bottom w:val="none" w:sz="0" w:space="0" w:color="auto"/>
        <w:right w:val="none" w:sz="0" w:space="0" w:color="auto"/>
      </w:divBdr>
    </w:div>
    <w:div w:id="2013410510">
      <w:bodyDiv w:val="1"/>
      <w:marLeft w:val="0"/>
      <w:marRight w:val="0"/>
      <w:marTop w:val="0"/>
      <w:marBottom w:val="0"/>
      <w:divBdr>
        <w:top w:val="none" w:sz="0" w:space="0" w:color="auto"/>
        <w:left w:val="none" w:sz="0" w:space="0" w:color="auto"/>
        <w:bottom w:val="none" w:sz="0" w:space="0" w:color="auto"/>
        <w:right w:val="none" w:sz="0" w:space="0" w:color="auto"/>
      </w:divBdr>
    </w:div>
    <w:div w:id="2017727376">
      <w:bodyDiv w:val="1"/>
      <w:marLeft w:val="0"/>
      <w:marRight w:val="0"/>
      <w:marTop w:val="0"/>
      <w:marBottom w:val="0"/>
      <w:divBdr>
        <w:top w:val="none" w:sz="0" w:space="0" w:color="auto"/>
        <w:left w:val="none" w:sz="0" w:space="0" w:color="auto"/>
        <w:bottom w:val="none" w:sz="0" w:space="0" w:color="auto"/>
        <w:right w:val="none" w:sz="0" w:space="0" w:color="auto"/>
      </w:divBdr>
    </w:div>
    <w:div w:id="2029789685">
      <w:bodyDiv w:val="1"/>
      <w:marLeft w:val="0"/>
      <w:marRight w:val="0"/>
      <w:marTop w:val="0"/>
      <w:marBottom w:val="0"/>
      <w:divBdr>
        <w:top w:val="none" w:sz="0" w:space="0" w:color="auto"/>
        <w:left w:val="none" w:sz="0" w:space="0" w:color="auto"/>
        <w:bottom w:val="none" w:sz="0" w:space="0" w:color="auto"/>
        <w:right w:val="none" w:sz="0" w:space="0" w:color="auto"/>
      </w:divBdr>
    </w:div>
    <w:div w:id="2032762626">
      <w:bodyDiv w:val="1"/>
      <w:marLeft w:val="0"/>
      <w:marRight w:val="0"/>
      <w:marTop w:val="0"/>
      <w:marBottom w:val="0"/>
      <w:divBdr>
        <w:top w:val="none" w:sz="0" w:space="0" w:color="auto"/>
        <w:left w:val="none" w:sz="0" w:space="0" w:color="auto"/>
        <w:bottom w:val="none" w:sz="0" w:space="0" w:color="auto"/>
        <w:right w:val="none" w:sz="0" w:space="0" w:color="auto"/>
      </w:divBdr>
    </w:div>
    <w:div w:id="2036229455">
      <w:bodyDiv w:val="1"/>
      <w:marLeft w:val="0"/>
      <w:marRight w:val="0"/>
      <w:marTop w:val="0"/>
      <w:marBottom w:val="0"/>
      <w:divBdr>
        <w:top w:val="none" w:sz="0" w:space="0" w:color="auto"/>
        <w:left w:val="none" w:sz="0" w:space="0" w:color="auto"/>
        <w:bottom w:val="none" w:sz="0" w:space="0" w:color="auto"/>
        <w:right w:val="none" w:sz="0" w:space="0" w:color="auto"/>
      </w:divBdr>
    </w:div>
    <w:div w:id="2037536953">
      <w:bodyDiv w:val="1"/>
      <w:marLeft w:val="0"/>
      <w:marRight w:val="0"/>
      <w:marTop w:val="0"/>
      <w:marBottom w:val="0"/>
      <w:divBdr>
        <w:top w:val="none" w:sz="0" w:space="0" w:color="auto"/>
        <w:left w:val="none" w:sz="0" w:space="0" w:color="auto"/>
        <w:bottom w:val="none" w:sz="0" w:space="0" w:color="auto"/>
        <w:right w:val="none" w:sz="0" w:space="0" w:color="auto"/>
      </w:divBdr>
    </w:div>
    <w:div w:id="2040006388">
      <w:bodyDiv w:val="1"/>
      <w:marLeft w:val="0"/>
      <w:marRight w:val="0"/>
      <w:marTop w:val="0"/>
      <w:marBottom w:val="0"/>
      <w:divBdr>
        <w:top w:val="none" w:sz="0" w:space="0" w:color="auto"/>
        <w:left w:val="none" w:sz="0" w:space="0" w:color="auto"/>
        <w:bottom w:val="none" w:sz="0" w:space="0" w:color="auto"/>
        <w:right w:val="none" w:sz="0" w:space="0" w:color="auto"/>
      </w:divBdr>
    </w:div>
    <w:div w:id="2041542149">
      <w:bodyDiv w:val="1"/>
      <w:marLeft w:val="0"/>
      <w:marRight w:val="0"/>
      <w:marTop w:val="0"/>
      <w:marBottom w:val="0"/>
      <w:divBdr>
        <w:top w:val="none" w:sz="0" w:space="0" w:color="auto"/>
        <w:left w:val="none" w:sz="0" w:space="0" w:color="auto"/>
        <w:bottom w:val="none" w:sz="0" w:space="0" w:color="auto"/>
        <w:right w:val="none" w:sz="0" w:space="0" w:color="auto"/>
      </w:divBdr>
    </w:div>
    <w:div w:id="2044165731">
      <w:bodyDiv w:val="1"/>
      <w:marLeft w:val="0"/>
      <w:marRight w:val="0"/>
      <w:marTop w:val="0"/>
      <w:marBottom w:val="0"/>
      <w:divBdr>
        <w:top w:val="none" w:sz="0" w:space="0" w:color="auto"/>
        <w:left w:val="none" w:sz="0" w:space="0" w:color="auto"/>
        <w:bottom w:val="none" w:sz="0" w:space="0" w:color="auto"/>
        <w:right w:val="none" w:sz="0" w:space="0" w:color="auto"/>
      </w:divBdr>
    </w:div>
    <w:div w:id="2050641509">
      <w:bodyDiv w:val="1"/>
      <w:marLeft w:val="0"/>
      <w:marRight w:val="0"/>
      <w:marTop w:val="0"/>
      <w:marBottom w:val="0"/>
      <w:divBdr>
        <w:top w:val="none" w:sz="0" w:space="0" w:color="auto"/>
        <w:left w:val="none" w:sz="0" w:space="0" w:color="auto"/>
        <w:bottom w:val="none" w:sz="0" w:space="0" w:color="auto"/>
        <w:right w:val="none" w:sz="0" w:space="0" w:color="auto"/>
      </w:divBdr>
    </w:div>
    <w:div w:id="2052917900">
      <w:bodyDiv w:val="1"/>
      <w:marLeft w:val="0"/>
      <w:marRight w:val="0"/>
      <w:marTop w:val="0"/>
      <w:marBottom w:val="0"/>
      <w:divBdr>
        <w:top w:val="none" w:sz="0" w:space="0" w:color="auto"/>
        <w:left w:val="none" w:sz="0" w:space="0" w:color="auto"/>
        <w:bottom w:val="none" w:sz="0" w:space="0" w:color="auto"/>
        <w:right w:val="none" w:sz="0" w:space="0" w:color="auto"/>
      </w:divBdr>
    </w:div>
    <w:div w:id="2057779451">
      <w:bodyDiv w:val="1"/>
      <w:marLeft w:val="0"/>
      <w:marRight w:val="0"/>
      <w:marTop w:val="0"/>
      <w:marBottom w:val="0"/>
      <w:divBdr>
        <w:top w:val="none" w:sz="0" w:space="0" w:color="auto"/>
        <w:left w:val="none" w:sz="0" w:space="0" w:color="auto"/>
        <w:bottom w:val="none" w:sz="0" w:space="0" w:color="auto"/>
        <w:right w:val="none" w:sz="0" w:space="0" w:color="auto"/>
      </w:divBdr>
    </w:div>
    <w:div w:id="2071995858">
      <w:bodyDiv w:val="1"/>
      <w:marLeft w:val="0"/>
      <w:marRight w:val="0"/>
      <w:marTop w:val="0"/>
      <w:marBottom w:val="0"/>
      <w:divBdr>
        <w:top w:val="none" w:sz="0" w:space="0" w:color="auto"/>
        <w:left w:val="none" w:sz="0" w:space="0" w:color="auto"/>
        <w:bottom w:val="none" w:sz="0" w:space="0" w:color="auto"/>
        <w:right w:val="none" w:sz="0" w:space="0" w:color="auto"/>
      </w:divBdr>
    </w:div>
    <w:div w:id="2076585088">
      <w:bodyDiv w:val="1"/>
      <w:marLeft w:val="0"/>
      <w:marRight w:val="0"/>
      <w:marTop w:val="0"/>
      <w:marBottom w:val="0"/>
      <w:divBdr>
        <w:top w:val="none" w:sz="0" w:space="0" w:color="auto"/>
        <w:left w:val="none" w:sz="0" w:space="0" w:color="auto"/>
        <w:bottom w:val="none" w:sz="0" w:space="0" w:color="auto"/>
        <w:right w:val="none" w:sz="0" w:space="0" w:color="auto"/>
      </w:divBdr>
    </w:div>
    <w:div w:id="2076665459">
      <w:bodyDiv w:val="1"/>
      <w:marLeft w:val="0"/>
      <w:marRight w:val="0"/>
      <w:marTop w:val="0"/>
      <w:marBottom w:val="0"/>
      <w:divBdr>
        <w:top w:val="none" w:sz="0" w:space="0" w:color="auto"/>
        <w:left w:val="none" w:sz="0" w:space="0" w:color="auto"/>
        <w:bottom w:val="none" w:sz="0" w:space="0" w:color="auto"/>
        <w:right w:val="none" w:sz="0" w:space="0" w:color="auto"/>
      </w:divBdr>
    </w:div>
    <w:div w:id="2077237767">
      <w:bodyDiv w:val="1"/>
      <w:marLeft w:val="0"/>
      <w:marRight w:val="0"/>
      <w:marTop w:val="0"/>
      <w:marBottom w:val="0"/>
      <w:divBdr>
        <w:top w:val="none" w:sz="0" w:space="0" w:color="auto"/>
        <w:left w:val="none" w:sz="0" w:space="0" w:color="auto"/>
        <w:bottom w:val="none" w:sz="0" w:space="0" w:color="auto"/>
        <w:right w:val="none" w:sz="0" w:space="0" w:color="auto"/>
      </w:divBdr>
    </w:div>
    <w:div w:id="2079748013">
      <w:bodyDiv w:val="1"/>
      <w:marLeft w:val="0"/>
      <w:marRight w:val="0"/>
      <w:marTop w:val="0"/>
      <w:marBottom w:val="0"/>
      <w:divBdr>
        <w:top w:val="none" w:sz="0" w:space="0" w:color="auto"/>
        <w:left w:val="none" w:sz="0" w:space="0" w:color="auto"/>
        <w:bottom w:val="none" w:sz="0" w:space="0" w:color="auto"/>
        <w:right w:val="none" w:sz="0" w:space="0" w:color="auto"/>
      </w:divBdr>
    </w:div>
    <w:div w:id="2080403696">
      <w:bodyDiv w:val="1"/>
      <w:marLeft w:val="0"/>
      <w:marRight w:val="0"/>
      <w:marTop w:val="0"/>
      <w:marBottom w:val="0"/>
      <w:divBdr>
        <w:top w:val="none" w:sz="0" w:space="0" w:color="auto"/>
        <w:left w:val="none" w:sz="0" w:space="0" w:color="auto"/>
        <w:bottom w:val="none" w:sz="0" w:space="0" w:color="auto"/>
        <w:right w:val="none" w:sz="0" w:space="0" w:color="auto"/>
      </w:divBdr>
    </w:div>
    <w:div w:id="2085567859">
      <w:bodyDiv w:val="1"/>
      <w:marLeft w:val="0"/>
      <w:marRight w:val="0"/>
      <w:marTop w:val="0"/>
      <w:marBottom w:val="0"/>
      <w:divBdr>
        <w:top w:val="none" w:sz="0" w:space="0" w:color="auto"/>
        <w:left w:val="none" w:sz="0" w:space="0" w:color="auto"/>
        <w:bottom w:val="none" w:sz="0" w:space="0" w:color="auto"/>
        <w:right w:val="none" w:sz="0" w:space="0" w:color="auto"/>
      </w:divBdr>
    </w:div>
    <w:div w:id="2087025666">
      <w:bodyDiv w:val="1"/>
      <w:marLeft w:val="0"/>
      <w:marRight w:val="0"/>
      <w:marTop w:val="0"/>
      <w:marBottom w:val="0"/>
      <w:divBdr>
        <w:top w:val="none" w:sz="0" w:space="0" w:color="auto"/>
        <w:left w:val="none" w:sz="0" w:space="0" w:color="auto"/>
        <w:bottom w:val="none" w:sz="0" w:space="0" w:color="auto"/>
        <w:right w:val="none" w:sz="0" w:space="0" w:color="auto"/>
      </w:divBdr>
    </w:div>
    <w:div w:id="2090732227">
      <w:bodyDiv w:val="1"/>
      <w:marLeft w:val="0"/>
      <w:marRight w:val="0"/>
      <w:marTop w:val="0"/>
      <w:marBottom w:val="0"/>
      <w:divBdr>
        <w:top w:val="none" w:sz="0" w:space="0" w:color="auto"/>
        <w:left w:val="none" w:sz="0" w:space="0" w:color="auto"/>
        <w:bottom w:val="none" w:sz="0" w:space="0" w:color="auto"/>
        <w:right w:val="none" w:sz="0" w:space="0" w:color="auto"/>
      </w:divBdr>
    </w:div>
    <w:div w:id="2094931302">
      <w:bodyDiv w:val="1"/>
      <w:marLeft w:val="0"/>
      <w:marRight w:val="0"/>
      <w:marTop w:val="0"/>
      <w:marBottom w:val="0"/>
      <w:divBdr>
        <w:top w:val="none" w:sz="0" w:space="0" w:color="auto"/>
        <w:left w:val="none" w:sz="0" w:space="0" w:color="auto"/>
        <w:bottom w:val="none" w:sz="0" w:space="0" w:color="auto"/>
        <w:right w:val="none" w:sz="0" w:space="0" w:color="auto"/>
      </w:divBdr>
    </w:div>
    <w:div w:id="2096003565">
      <w:bodyDiv w:val="1"/>
      <w:marLeft w:val="0"/>
      <w:marRight w:val="0"/>
      <w:marTop w:val="0"/>
      <w:marBottom w:val="0"/>
      <w:divBdr>
        <w:top w:val="none" w:sz="0" w:space="0" w:color="auto"/>
        <w:left w:val="none" w:sz="0" w:space="0" w:color="auto"/>
        <w:bottom w:val="none" w:sz="0" w:space="0" w:color="auto"/>
        <w:right w:val="none" w:sz="0" w:space="0" w:color="auto"/>
      </w:divBdr>
    </w:div>
    <w:div w:id="2099060893">
      <w:bodyDiv w:val="1"/>
      <w:marLeft w:val="0"/>
      <w:marRight w:val="0"/>
      <w:marTop w:val="0"/>
      <w:marBottom w:val="0"/>
      <w:divBdr>
        <w:top w:val="none" w:sz="0" w:space="0" w:color="auto"/>
        <w:left w:val="none" w:sz="0" w:space="0" w:color="auto"/>
        <w:bottom w:val="none" w:sz="0" w:space="0" w:color="auto"/>
        <w:right w:val="none" w:sz="0" w:space="0" w:color="auto"/>
      </w:divBdr>
    </w:div>
    <w:div w:id="2103186017">
      <w:bodyDiv w:val="1"/>
      <w:marLeft w:val="0"/>
      <w:marRight w:val="0"/>
      <w:marTop w:val="0"/>
      <w:marBottom w:val="0"/>
      <w:divBdr>
        <w:top w:val="none" w:sz="0" w:space="0" w:color="auto"/>
        <w:left w:val="none" w:sz="0" w:space="0" w:color="auto"/>
        <w:bottom w:val="none" w:sz="0" w:space="0" w:color="auto"/>
        <w:right w:val="none" w:sz="0" w:space="0" w:color="auto"/>
      </w:divBdr>
    </w:div>
    <w:div w:id="2112436323">
      <w:bodyDiv w:val="1"/>
      <w:marLeft w:val="0"/>
      <w:marRight w:val="0"/>
      <w:marTop w:val="0"/>
      <w:marBottom w:val="0"/>
      <w:divBdr>
        <w:top w:val="none" w:sz="0" w:space="0" w:color="auto"/>
        <w:left w:val="none" w:sz="0" w:space="0" w:color="auto"/>
        <w:bottom w:val="none" w:sz="0" w:space="0" w:color="auto"/>
        <w:right w:val="none" w:sz="0" w:space="0" w:color="auto"/>
      </w:divBdr>
    </w:div>
    <w:div w:id="2113163094">
      <w:bodyDiv w:val="1"/>
      <w:marLeft w:val="0"/>
      <w:marRight w:val="0"/>
      <w:marTop w:val="0"/>
      <w:marBottom w:val="0"/>
      <w:divBdr>
        <w:top w:val="none" w:sz="0" w:space="0" w:color="auto"/>
        <w:left w:val="none" w:sz="0" w:space="0" w:color="auto"/>
        <w:bottom w:val="none" w:sz="0" w:space="0" w:color="auto"/>
        <w:right w:val="none" w:sz="0" w:space="0" w:color="auto"/>
      </w:divBdr>
    </w:div>
    <w:div w:id="2113622400">
      <w:bodyDiv w:val="1"/>
      <w:marLeft w:val="0"/>
      <w:marRight w:val="0"/>
      <w:marTop w:val="0"/>
      <w:marBottom w:val="0"/>
      <w:divBdr>
        <w:top w:val="none" w:sz="0" w:space="0" w:color="auto"/>
        <w:left w:val="none" w:sz="0" w:space="0" w:color="auto"/>
        <w:bottom w:val="none" w:sz="0" w:space="0" w:color="auto"/>
        <w:right w:val="none" w:sz="0" w:space="0" w:color="auto"/>
      </w:divBdr>
      <w:divsChild>
        <w:div w:id="1001278326">
          <w:marLeft w:val="0"/>
          <w:marRight w:val="0"/>
          <w:marTop w:val="0"/>
          <w:marBottom w:val="0"/>
          <w:divBdr>
            <w:top w:val="none" w:sz="0" w:space="0" w:color="auto"/>
            <w:left w:val="none" w:sz="0" w:space="0" w:color="auto"/>
            <w:bottom w:val="none" w:sz="0" w:space="0" w:color="auto"/>
            <w:right w:val="none" w:sz="0" w:space="0" w:color="auto"/>
          </w:divBdr>
          <w:divsChild>
            <w:div w:id="666517380">
              <w:marLeft w:val="0"/>
              <w:marRight w:val="0"/>
              <w:marTop w:val="0"/>
              <w:marBottom w:val="0"/>
              <w:divBdr>
                <w:top w:val="none" w:sz="0" w:space="0" w:color="auto"/>
                <w:left w:val="none" w:sz="0" w:space="0" w:color="auto"/>
                <w:bottom w:val="none" w:sz="0" w:space="0" w:color="auto"/>
                <w:right w:val="none" w:sz="0" w:space="0" w:color="auto"/>
              </w:divBdr>
              <w:divsChild>
                <w:div w:id="149136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666672">
      <w:bodyDiv w:val="1"/>
      <w:marLeft w:val="0"/>
      <w:marRight w:val="0"/>
      <w:marTop w:val="0"/>
      <w:marBottom w:val="0"/>
      <w:divBdr>
        <w:top w:val="none" w:sz="0" w:space="0" w:color="auto"/>
        <w:left w:val="none" w:sz="0" w:space="0" w:color="auto"/>
        <w:bottom w:val="none" w:sz="0" w:space="0" w:color="auto"/>
        <w:right w:val="none" w:sz="0" w:space="0" w:color="auto"/>
      </w:divBdr>
    </w:div>
    <w:div w:id="2119107281">
      <w:bodyDiv w:val="1"/>
      <w:marLeft w:val="0"/>
      <w:marRight w:val="0"/>
      <w:marTop w:val="0"/>
      <w:marBottom w:val="0"/>
      <w:divBdr>
        <w:top w:val="none" w:sz="0" w:space="0" w:color="auto"/>
        <w:left w:val="none" w:sz="0" w:space="0" w:color="auto"/>
        <w:bottom w:val="none" w:sz="0" w:space="0" w:color="auto"/>
        <w:right w:val="none" w:sz="0" w:space="0" w:color="auto"/>
      </w:divBdr>
    </w:div>
    <w:div w:id="2119174040">
      <w:bodyDiv w:val="1"/>
      <w:marLeft w:val="0"/>
      <w:marRight w:val="0"/>
      <w:marTop w:val="0"/>
      <w:marBottom w:val="0"/>
      <w:divBdr>
        <w:top w:val="none" w:sz="0" w:space="0" w:color="auto"/>
        <w:left w:val="none" w:sz="0" w:space="0" w:color="auto"/>
        <w:bottom w:val="none" w:sz="0" w:space="0" w:color="auto"/>
        <w:right w:val="none" w:sz="0" w:space="0" w:color="auto"/>
      </w:divBdr>
    </w:div>
    <w:div w:id="2131656175">
      <w:bodyDiv w:val="1"/>
      <w:marLeft w:val="0"/>
      <w:marRight w:val="0"/>
      <w:marTop w:val="0"/>
      <w:marBottom w:val="0"/>
      <w:divBdr>
        <w:top w:val="none" w:sz="0" w:space="0" w:color="auto"/>
        <w:left w:val="none" w:sz="0" w:space="0" w:color="auto"/>
        <w:bottom w:val="none" w:sz="0" w:space="0" w:color="auto"/>
        <w:right w:val="none" w:sz="0" w:space="0" w:color="auto"/>
      </w:divBdr>
    </w:div>
    <w:div w:id="2142771668">
      <w:bodyDiv w:val="1"/>
      <w:marLeft w:val="0"/>
      <w:marRight w:val="0"/>
      <w:marTop w:val="0"/>
      <w:marBottom w:val="0"/>
      <w:divBdr>
        <w:top w:val="none" w:sz="0" w:space="0" w:color="auto"/>
        <w:left w:val="none" w:sz="0" w:space="0" w:color="auto"/>
        <w:bottom w:val="none" w:sz="0" w:space="0" w:color="auto"/>
        <w:right w:val="none" w:sz="0" w:space="0" w:color="auto"/>
      </w:divBdr>
    </w:div>
    <w:div w:id="2143377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7.xml"/><Relationship Id="rId39" Type="http://schemas.openxmlformats.org/officeDocument/2006/relationships/chart" Target="charts/chart30.xml"/><Relationship Id="rId21" Type="http://schemas.openxmlformats.org/officeDocument/2006/relationships/chart" Target="charts/chart12.xml"/><Relationship Id="rId34" Type="http://schemas.openxmlformats.org/officeDocument/2006/relationships/chart" Target="charts/chart25.xml"/><Relationship Id="rId42" Type="http://schemas.openxmlformats.org/officeDocument/2006/relationships/chart" Target="charts/chart33.xml"/><Relationship Id="rId47" Type="http://schemas.openxmlformats.org/officeDocument/2006/relationships/chart" Target="charts/chart38.xml"/><Relationship Id="rId50"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20.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chart" Target="charts/chart28.xml"/><Relationship Id="rId40" Type="http://schemas.openxmlformats.org/officeDocument/2006/relationships/chart" Target="charts/chart31.xml"/><Relationship Id="rId45" Type="http://schemas.openxmlformats.org/officeDocument/2006/relationships/chart" Target="charts/chart36.xml"/><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chart" Target="charts/chart22.xml"/><Relationship Id="rId44" Type="http://schemas.openxmlformats.org/officeDocument/2006/relationships/chart" Target="charts/chart35.xml"/><Relationship Id="rId52"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chart" Target="charts/chart34.xml"/><Relationship Id="rId48" Type="http://schemas.openxmlformats.org/officeDocument/2006/relationships/chart" Target="charts/chart39.xml"/><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9.xml"/><Relationship Id="rId46" Type="http://schemas.openxmlformats.org/officeDocument/2006/relationships/chart" Target="charts/chart37.xml"/><Relationship Id="rId20" Type="http://schemas.openxmlformats.org/officeDocument/2006/relationships/chart" Target="charts/chart11.xml"/><Relationship Id="rId41" Type="http://schemas.openxmlformats.org/officeDocument/2006/relationships/chart" Target="charts/chart32.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49"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oleObject" Target="file:///\\pds\Users\Support%20Bureau\Information%20Management%20Division\Users\jnecaise\Crime%20Report%20Info\Crime%20Report%20Info\2016\Master%20Crime%202016%20Annual.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Group A Crimes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'5 year'!$K$281:$R$281</c:f>
              <c:strCache>
                <c:ptCount val="1"/>
                <c:pt idx="0">
                  <c:v>Group A Crimes</c:v>
                </c:pt>
              </c:strCache>
            </c:strRef>
          </c:tx>
          <c:spPr>
            <a:solidFill>
              <a:srgbClr val="2F14F8"/>
            </a:solidFill>
          </c:spPr>
          <c:invertIfNegative val="0"/>
          <c:dPt>
            <c:idx val="0"/>
            <c:invertIfNegative val="0"/>
            <c:bubble3D val="0"/>
            <c:spPr>
              <a:solidFill>
                <a:schemeClr val="tx1"/>
              </a:solidFill>
            </c:spPr>
          </c:dPt>
          <c:dPt>
            <c:idx val="6"/>
            <c:invertIfNegative val="0"/>
            <c:bubble3D val="0"/>
            <c:spPr>
              <a:solidFill>
                <a:srgbClr val="FF0000"/>
              </a:solidFill>
            </c:spPr>
          </c:dPt>
          <c:cat>
            <c:strRef>
              <c:f>'5 year'!$L$282:$R$282</c:f>
              <c:strCache>
                <c:ptCount val="7"/>
                <c:pt idx="0">
                  <c:v>5Yr Avg.</c:v>
                </c:pt>
                <c:pt idx="1">
                  <c:v>2011</c:v>
                </c:pt>
                <c:pt idx="2">
                  <c:v>2012</c:v>
                </c:pt>
                <c:pt idx="3">
                  <c:v>2013</c:v>
                </c:pt>
                <c:pt idx="4">
                  <c:v>2014</c:v>
                </c:pt>
                <c:pt idx="5">
                  <c:v>2015</c:v>
                </c:pt>
                <c:pt idx="6">
                  <c:v>2016</c:v>
                </c:pt>
              </c:strCache>
            </c:strRef>
          </c:cat>
          <c:val>
            <c:numRef>
              <c:f>'5 year'!$L$295:$R$295</c:f>
              <c:numCache>
                <c:formatCode>General</c:formatCode>
                <c:ptCount val="7"/>
                <c:pt idx="0" formatCode="0">
                  <c:v>7940.6</c:v>
                </c:pt>
                <c:pt idx="1">
                  <c:v>8013</c:v>
                </c:pt>
                <c:pt idx="2">
                  <c:v>7617</c:v>
                </c:pt>
                <c:pt idx="3">
                  <c:v>7710</c:v>
                </c:pt>
                <c:pt idx="4">
                  <c:v>7826</c:v>
                </c:pt>
                <c:pt idx="5">
                  <c:v>8537</c:v>
                </c:pt>
                <c:pt idx="6">
                  <c:v>8877</c:v>
                </c:pt>
              </c:numCache>
            </c:numRef>
          </c:val>
        </c:ser>
        <c:dLbls>
          <c:showLegendKey val="0"/>
          <c:showVal val="1"/>
          <c:showCatName val="0"/>
          <c:showSerName val="0"/>
          <c:showPercent val="0"/>
          <c:showBubbleSize val="0"/>
        </c:dLbls>
        <c:gapWidth val="150"/>
        <c:shape val="box"/>
        <c:axId val="569289728"/>
        <c:axId val="956766400"/>
        <c:axId val="0"/>
      </c:bar3DChart>
      <c:catAx>
        <c:axId val="569289728"/>
        <c:scaling>
          <c:orientation val="minMax"/>
        </c:scaling>
        <c:delete val="0"/>
        <c:axPos val="b"/>
        <c:numFmt formatCode="General" sourceLinked="1"/>
        <c:majorTickMark val="none"/>
        <c:minorTickMark val="none"/>
        <c:tickLblPos val="nextTo"/>
        <c:txPr>
          <a:bodyPr/>
          <a:lstStyle/>
          <a:p>
            <a:pPr>
              <a:defRPr b="1"/>
            </a:pPr>
            <a:endParaRPr lang="en-US"/>
          </a:p>
        </c:txPr>
        <c:crossAx val="956766400"/>
        <c:crosses val="autoZero"/>
        <c:auto val="1"/>
        <c:lblAlgn val="ctr"/>
        <c:lblOffset val="100"/>
        <c:noMultiLvlLbl val="0"/>
      </c:catAx>
      <c:valAx>
        <c:axId val="956766400"/>
        <c:scaling>
          <c:orientation val="minMax"/>
        </c:scaling>
        <c:delete val="0"/>
        <c:axPos val="l"/>
        <c:majorGridlines/>
        <c:numFmt formatCode="0" sourceLinked="1"/>
        <c:majorTickMark val="none"/>
        <c:minorTickMark val="none"/>
        <c:tickLblPos val="nextTo"/>
        <c:txPr>
          <a:bodyPr/>
          <a:lstStyle/>
          <a:p>
            <a:pPr>
              <a:defRPr b="1"/>
            </a:pPr>
            <a:endParaRPr lang="en-US"/>
          </a:p>
        </c:txPr>
        <c:crossAx val="569289728"/>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 Assaults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chemeClr val="accent1">
                <a:lumMod val="75000"/>
              </a:schemeClr>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dLbls>
            <c:txPr>
              <a:bodyPr/>
              <a:lstStyle/>
              <a:p>
                <a:pPr>
                  <a:defRPr b="1"/>
                </a:pPr>
                <a:endParaRPr lang="en-US"/>
              </a:p>
            </c:txPr>
            <c:showLegendKey val="0"/>
            <c:showVal val="1"/>
            <c:showCatName val="0"/>
            <c:showSerName val="0"/>
            <c:showPercent val="0"/>
            <c:showBubbleSize val="0"/>
            <c:showLeaderLines val="0"/>
          </c:dLbls>
          <c:cat>
            <c:strRef>
              <c:f>'5 year'!$C$167:$I$167</c:f>
              <c:strCache>
                <c:ptCount val="7"/>
                <c:pt idx="0">
                  <c:v>5Yr Avg.</c:v>
                </c:pt>
                <c:pt idx="1">
                  <c:v>2011</c:v>
                </c:pt>
                <c:pt idx="2">
                  <c:v>2012</c:v>
                </c:pt>
                <c:pt idx="3">
                  <c:v>2013</c:v>
                </c:pt>
                <c:pt idx="4">
                  <c:v>2014</c:v>
                </c:pt>
                <c:pt idx="5">
                  <c:v>2015</c:v>
                </c:pt>
                <c:pt idx="6">
                  <c:v>2016</c:v>
                </c:pt>
              </c:strCache>
            </c:strRef>
          </c:cat>
          <c:val>
            <c:numRef>
              <c:f>'5 year'!$C$180:$I$180</c:f>
              <c:numCache>
                <c:formatCode>General</c:formatCode>
                <c:ptCount val="7"/>
                <c:pt idx="0" formatCode="0">
                  <c:v>2049.4</c:v>
                </c:pt>
                <c:pt idx="1">
                  <c:v>1737</c:v>
                </c:pt>
                <c:pt idx="2">
                  <c:v>2001</c:v>
                </c:pt>
                <c:pt idx="3">
                  <c:v>2181</c:v>
                </c:pt>
                <c:pt idx="4">
                  <c:v>2196</c:v>
                </c:pt>
                <c:pt idx="5">
                  <c:v>2132</c:v>
                </c:pt>
                <c:pt idx="6">
                  <c:v>1817</c:v>
                </c:pt>
              </c:numCache>
            </c:numRef>
          </c:val>
        </c:ser>
        <c:dLbls>
          <c:showLegendKey val="0"/>
          <c:showVal val="0"/>
          <c:showCatName val="0"/>
          <c:showSerName val="0"/>
          <c:showPercent val="0"/>
          <c:showBubbleSize val="0"/>
        </c:dLbls>
        <c:gapWidth val="150"/>
        <c:shape val="box"/>
        <c:axId val="818032640"/>
        <c:axId val="807020224"/>
        <c:axId val="0"/>
      </c:bar3DChart>
      <c:catAx>
        <c:axId val="818032640"/>
        <c:scaling>
          <c:orientation val="minMax"/>
        </c:scaling>
        <c:delete val="0"/>
        <c:axPos val="b"/>
        <c:numFmt formatCode="General" sourceLinked="1"/>
        <c:majorTickMark val="out"/>
        <c:minorTickMark val="none"/>
        <c:tickLblPos val="nextTo"/>
        <c:txPr>
          <a:bodyPr/>
          <a:lstStyle/>
          <a:p>
            <a:pPr>
              <a:defRPr b="1"/>
            </a:pPr>
            <a:endParaRPr lang="en-US"/>
          </a:p>
        </c:txPr>
        <c:crossAx val="807020224"/>
        <c:crosses val="autoZero"/>
        <c:auto val="1"/>
        <c:lblAlgn val="ctr"/>
        <c:lblOffset val="100"/>
        <c:noMultiLvlLbl val="0"/>
      </c:catAx>
      <c:valAx>
        <c:axId val="807020224"/>
        <c:scaling>
          <c:orientation val="minMax"/>
        </c:scaling>
        <c:delete val="0"/>
        <c:axPos val="l"/>
        <c:majorGridlines/>
        <c:numFmt formatCode="0" sourceLinked="1"/>
        <c:majorTickMark val="out"/>
        <c:minorTickMark val="none"/>
        <c:tickLblPos val="nextTo"/>
        <c:txPr>
          <a:bodyPr/>
          <a:lstStyle/>
          <a:p>
            <a:pPr>
              <a:defRPr b="1"/>
            </a:pPr>
            <a:endParaRPr lang="en-US"/>
          </a:p>
        </c:txPr>
        <c:crossAx val="818032640"/>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Simple Assaults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chemeClr val="accent1">
                <a:lumMod val="75000"/>
              </a:schemeClr>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cat>
            <c:strRef>
              <c:f>'5 year'!$C$148:$I$148</c:f>
              <c:strCache>
                <c:ptCount val="7"/>
                <c:pt idx="0">
                  <c:v>5Yr Avg.</c:v>
                </c:pt>
                <c:pt idx="1">
                  <c:v>2011</c:v>
                </c:pt>
                <c:pt idx="2">
                  <c:v>2012</c:v>
                </c:pt>
                <c:pt idx="3">
                  <c:v>2013</c:v>
                </c:pt>
                <c:pt idx="4">
                  <c:v>2014</c:v>
                </c:pt>
                <c:pt idx="5">
                  <c:v>2015</c:v>
                </c:pt>
                <c:pt idx="6">
                  <c:v>2016</c:v>
                </c:pt>
              </c:strCache>
            </c:strRef>
          </c:cat>
          <c:val>
            <c:numRef>
              <c:f>'5 year'!$C$161:$I$161</c:f>
              <c:numCache>
                <c:formatCode>General</c:formatCode>
                <c:ptCount val="7"/>
                <c:pt idx="0" formatCode="0">
                  <c:v>1297</c:v>
                </c:pt>
                <c:pt idx="1">
                  <c:v>980</c:v>
                </c:pt>
                <c:pt idx="2">
                  <c:v>1234</c:v>
                </c:pt>
                <c:pt idx="3">
                  <c:v>1507</c:v>
                </c:pt>
                <c:pt idx="4">
                  <c:v>1482</c:v>
                </c:pt>
                <c:pt idx="5">
                  <c:v>1282</c:v>
                </c:pt>
                <c:pt idx="6">
                  <c:v>905</c:v>
                </c:pt>
              </c:numCache>
            </c:numRef>
          </c:val>
        </c:ser>
        <c:dLbls>
          <c:showLegendKey val="0"/>
          <c:showVal val="1"/>
          <c:showCatName val="0"/>
          <c:showSerName val="0"/>
          <c:showPercent val="0"/>
          <c:showBubbleSize val="0"/>
        </c:dLbls>
        <c:gapWidth val="150"/>
        <c:shape val="box"/>
        <c:axId val="818034688"/>
        <c:axId val="807025408"/>
        <c:axId val="0"/>
      </c:bar3DChart>
      <c:catAx>
        <c:axId val="818034688"/>
        <c:scaling>
          <c:orientation val="minMax"/>
        </c:scaling>
        <c:delete val="0"/>
        <c:axPos val="b"/>
        <c:numFmt formatCode="General" sourceLinked="1"/>
        <c:majorTickMark val="none"/>
        <c:minorTickMark val="none"/>
        <c:tickLblPos val="nextTo"/>
        <c:txPr>
          <a:bodyPr/>
          <a:lstStyle/>
          <a:p>
            <a:pPr>
              <a:defRPr b="1"/>
            </a:pPr>
            <a:endParaRPr lang="en-US"/>
          </a:p>
        </c:txPr>
        <c:crossAx val="807025408"/>
        <c:crosses val="autoZero"/>
        <c:auto val="1"/>
        <c:lblAlgn val="ctr"/>
        <c:lblOffset val="100"/>
        <c:noMultiLvlLbl val="0"/>
      </c:catAx>
      <c:valAx>
        <c:axId val="807025408"/>
        <c:scaling>
          <c:orientation val="minMax"/>
        </c:scaling>
        <c:delete val="0"/>
        <c:axPos val="l"/>
        <c:majorGridlines/>
        <c:numFmt formatCode="0" sourceLinked="1"/>
        <c:majorTickMark val="none"/>
        <c:minorTickMark val="none"/>
        <c:tickLblPos val="nextTo"/>
        <c:txPr>
          <a:bodyPr/>
          <a:lstStyle/>
          <a:p>
            <a:pPr>
              <a:defRPr b="1"/>
            </a:pPr>
            <a:endParaRPr lang="en-US"/>
          </a:p>
        </c:txPr>
        <c:crossAx val="818034688"/>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Domestic Violence</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chemeClr val="accent1">
                <a:lumMod val="75000"/>
              </a:schemeClr>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cat>
            <c:strRef>
              <c:f>'5 year'!$C$128:$I$128</c:f>
              <c:strCache>
                <c:ptCount val="7"/>
                <c:pt idx="0">
                  <c:v>5Yr Avg.</c:v>
                </c:pt>
                <c:pt idx="1">
                  <c:v>2011</c:v>
                </c:pt>
                <c:pt idx="2">
                  <c:v>2012</c:v>
                </c:pt>
                <c:pt idx="3">
                  <c:v>2013</c:v>
                </c:pt>
                <c:pt idx="4">
                  <c:v>2014</c:v>
                </c:pt>
                <c:pt idx="5">
                  <c:v>2015</c:v>
                </c:pt>
                <c:pt idx="6">
                  <c:v>2016</c:v>
                </c:pt>
              </c:strCache>
            </c:strRef>
          </c:cat>
          <c:val>
            <c:numRef>
              <c:f>'5 year'!$C$141:$I$141</c:f>
              <c:numCache>
                <c:formatCode>General</c:formatCode>
                <c:ptCount val="7"/>
                <c:pt idx="0" formatCode="0">
                  <c:v>688.8</c:v>
                </c:pt>
                <c:pt idx="1">
                  <c:v>715</c:v>
                </c:pt>
                <c:pt idx="2">
                  <c:v>711</c:v>
                </c:pt>
                <c:pt idx="3">
                  <c:v>598</c:v>
                </c:pt>
                <c:pt idx="4">
                  <c:v>652</c:v>
                </c:pt>
                <c:pt idx="5">
                  <c:v>768</c:v>
                </c:pt>
                <c:pt idx="6">
                  <c:v>844</c:v>
                </c:pt>
              </c:numCache>
            </c:numRef>
          </c:val>
        </c:ser>
        <c:dLbls>
          <c:showLegendKey val="0"/>
          <c:showVal val="1"/>
          <c:showCatName val="0"/>
          <c:showSerName val="0"/>
          <c:showPercent val="0"/>
          <c:showBubbleSize val="0"/>
        </c:dLbls>
        <c:gapWidth val="150"/>
        <c:shape val="box"/>
        <c:axId val="818036224"/>
        <c:axId val="953778752"/>
        <c:axId val="0"/>
      </c:bar3DChart>
      <c:catAx>
        <c:axId val="818036224"/>
        <c:scaling>
          <c:orientation val="minMax"/>
        </c:scaling>
        <c:delete val="0"/>
        <c:axPos val="b"/>
        <c:numFmt formatCode="General" sourceLinked="1"/>
        <c:majorTickMark val="none"/>
        <c:minorTickMark val="none"/>
        <c:tickLblPos val="nextTo"/>
        <c:txPr>
          <a:bodyPr/>
          <a:lstStyle/>
          <a:p>
            <a:pPr>
              <a:defRPr b="1"/>
            </a:pPr>
            <a:endParaRPr lang="en-US"/>
          </a:p>
        </c:txPr>
        <c:crossAx val="953778752"/>
        <c:crosses val="autoZero"/>
        <c:auto val="1"/>
        <c:lblAlgn val="ctr"/>
        <c:lblOffset val="100"/>
        <c:noMultiLvlLbl val="0"/>
      </c:catAx>
      <c:valAx>
        <c:axId val="953778752"/>
        <c:scaling>
          <c:orientation val="minMax"/>
        </c:scaling>
        <c:delete val="0"/>
        <c:axPos val="l"/>
        <c:majorGridlines/>
        <c:numFmt formatCode="0" sourceLinked="1"/>
        <c:majorTickMark val="none"/>
        <c:minorTickMark val="none"/>
        <c:tickLblPos val="nextTo"/>
        <c:txPr>
          <a:bodyPr/>
          <a:lstStyle/>
          <a:p>
            <a:pPr>
              <a:defRPr b="1"/>
            </a:pPr>
            <a:endParaRPr lang="en-US"/>
          </a:p>
        </c:txPr>
        <c:crossAx val="818036224"/>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3.0723750481744999E-2"/>
          <c:y val="0.18726264216972899"/>
          <c:w val="0.93888888888889765"/>
          <c:h val="0.65496435009570464"/>
        </c:manualLayout>
      </c:layout>
      <c:pie3DChart>
        <c:varyColors val="1"/>
        <c:ser>
          <c:idx val="0"/>
          <c:order val="0"/>
          <c:tx>
            <c:strRef>
              <c:f>'5 year'!$B$255:$I$255</c:f>
              <c:strCache>
                <c:ptCount val="1"/>
                <c:pt idx="0">
                  <c:v>Property Crimes</c:v>
                </c:pt>
              </c:strCache>
            </c:strRef>
          </c:tx>
          <c:explosion val="25"/>
          <c:dPt>
            <c:idx val="0"/>
            <c:bubble3D val="0"/>
            <c:spPr>
              <a:solidFill>
                <a:srgbClr val="2F14F8"/>
              </a:solidFill>
            </c:spPr>
          </c:dPt>
          <c:dPt>
            <c:idx val="1"/>
            <c:bubble3D val="0"/>
            <c:spPr>
              <a:solidFill>
                <a:srgbClr val="FFFF00"/>
              </a:solidFill>
            </c:spPr>
          </c:dPt>
          <c:dPt>
            <c:idx val="2"/>
            <c:bubble3D val="0"/>
            <c:spPr>
              <a:solidFill>
                <a:srgbClr val="FF0000"/>
              </a:solidFill>
            </c:spPr>
          </c:dPt>
          <c:dLbls>
            <c:txPr>
              <a:bodyPr/>
              <a:lstStyle/>
              <a:p>
                <a:pPr>
                  <a:defRPr sz="1000" b="1"/>
                </a:pPr>
                <a:endParaRPr lang="en-US"/>
              </a:p>
            </c:txPr>
            <c:dLblPos val="inEnd"/>
            <c:showLegendKey val="0"/>
            <c:showVal val="0"/>
            <c:showCatName val="0"/>
            <c:showSerName val="0"/>
            <c:showPercent val="1"/>
            <c:showBubbleSize val="0"/>
            <c:showLeaderLines val="1"/>
          </c:dLbls>
          <c:cat>
            <c:strRef>
              <c:f>('5 year'!$B$189:$I$189,'5 year'!$B$211:$I$211,'5 year'!$B$233:$I$233)</c:f>
              <c:strCache>
                <c:ptCount val="3"/>
                <c:pt idx="0">
                  <c:v>Burglary</c:v>
                </c:pt>
                <c:pt idx="1">
                  <c:v>Auto Theft</c:v>
                </c:pt>
                <c:pt idx="2">
                  <c:v>Larceny</c:v>
                </c:pt>
              </c:strCache>
            </c:strRef>
          </c:cat>
          <c:val>
            <c:numRef>
              <c:f>('5 year'!$I$203,'5 year'!$I$225,'5 year'!$I$247)</c:f>
              <c:numCache>
                <c:formatCode>General</c:formatCode>
                <c:ptCount val="3"/>
                <c:pt idx="0">
                  <c:v>650</c:v>
                </c:pt>
                <c:pt idx="1">
                  <c:v>182</c:v>
                </c:pt>
                <c:pt idx="2">
                  <c:v>3023</c:v>
                </c:pt>
              </c:numCache>
            </c:numRef>
          </c:val>
        </c:ser>
        <c:dLbls>
          <c:showLegendKey val="0"/>
          <c:showVal val="1"/>
          <c:showCatName val="0"/>
          <c:showSerName val="0"/>
          <c:showPercent val="0"/>
          <c:showBubbleSize val="0"/>
          <c:showLeaderLines val="1"/>
        </c:dLbls>
      </c:pie3DChart>
    </c:plotArea>
    <c:legend>
      <c:legendPos val="b"/>
      <c:overlay val="0"/>
      <c:txPr>
        <a:bodyPr/>
        <a:lstStyle/>
        <a:p>
          <a:pPr rtl="0">
            <a:defRPr/>
          </a:pPr>
          <a:endParaRPr lang="en-US"/>
        </a:p>
      </c:txPr>
    </c:legend>
    <c:plotVisOnly val="1"/>
    <c:dispBlanksAs val="zero"/>
    <c:showDLblsOverMax val="0"/>
  </c:chart>
  <c:spPr>
    <a:solidFill>
      <a:schemeClr val="bg2">
        <a:lumMod val="75000"/>
      </a:schemeClr>
    </a:solidFill>
    <a:ln>
      <a:solidFill>
        <a:schemeClr val="bg2">
          <a:lumMod val="50000"/>
        </a:schemeClr>
      </a:solid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24-month Total Property Crimes </a:t>
            </a:r>
            <a:endParaRPr lang="en-US"/>
          </a:p>
        </c:rich>
      </c:tx>
      <c:overlay val="0"/>
    </c:title>
    <c:autoTitleDeleted val="0"/>
    <c:plotArea>
      <c:layout>
        <c:manualLayout>
          <c:layoutTarget val="inner"/>
          <c:xMode val="edge"/>
          <c:yMode val="edge"/>
          <c:x val="5.4347826988350084E-2"/>
          <c:y val="0.15406163342966941"/>
          <c:w val="0.9380434938189216"/>
          <c:h val="0.53221291548431227"/>
        </c:manualLayout>
      </c:layout>
      <c:lineChart>
        <c:grouping val="standard"/>
        <c:varyColors val="0"/>
        <c:ser>
          <c:idx val="0"/>
          <c:order val="0"/>
          <c:tx>
            <c:v>Property Crimes past 24 months</c:v>
          </c:tx>
          <c:spPr>
            <a:ln>
              <a:solidFill>
                <a:schemeClr val="tx1"/>
              </a:solidFill>
            </a:ln>
          </c:spPr>
          <c:marker>
            <c:spPr>
              <a:solidFill>
                <a:schemeClr val="tx1"/>
              </a:solidFill>
            </c:spPr>
          </c:marker>
          <c:trendline>
            <c:trendlineType val="linear"/>
            <c:dispRSqr val="0"/>
            <c:dispEq val="0"/>
          </c:trendline>
          <c:trendline>
            <c:trendlineType val="linear"/>
            <c:dispRSqr val="0"/>
            <c:dispEq val="0"/>
          </c:trendline>
          <c:cat>
            <c:strRef>
              <c:f>'5 year'!$Y$15:$Y$38</c:f>
              <c:strCache>
                <c:ptCount val="24"/>
                <c:pt idx="0">
                  <c:v>January-15</c:v>
                </c:pt>
                <c:pt idx="1">
                  <c:v>February</c:v>
                </c:pt>
                <c:pt idx="2">
                  <c:v>March</c:v>
                </c:pt>
                <c:pt idx="3">
                  <c:v>April</c:v>
                </c:pt>
                <c:pt idx="4">
                  <c:v>May</c:v>
                </c:pt>
                <c:pt idx="5">
                  <c:v>June</c:v>
                </c:pt>
                <c:pt idx="6">
                  <c:v>July-15</c:v>
                </c:pt>
                <c:pt idx="7">
                  <c:v>August</c:v>
                </c:pt>
                <c:pt idx="8">
                  <c:v>September</c:v>
                </c:pt>
                <c:pt idx="9">
                  <c:v>October</c:v>
                </c:pt>
                <c:pt idx="10">
                  <c:v>November</c:v>
                </c:pt>
                <c:pt idx="11">
                  <c:v>December</c:v>
                </c:pt>
                <c:pt idx="12">
                  <c:v>January-16</c:v>
                </c:pt>
                <c:pt idx="13">
                  <c:v>February</c:v>
                </c:pt>
                <c:pt idx="14">
                  <c:v>March</c:v>
                </c:pt>
                <c:pt idx="15">
                  <c:v>April</c:v>
                </c:pt>
                <c:pt idx="16">
                  <c:v>May</c:v>
                </c:pt>
                <c:pt idx="17">
                  <c:v>June</c:v>
                </c:pt>
                <c:pt idx="18">
                  <c:v>July-16</c:v>
                </c:pt>
                <c:pt idx="19">
                  <c:v>August</c:v>
                </c:pt>
                <c:pt idx="20">
                  <c:v>September</c:v>
                </c:pt>
                <c:pt idx="21">
                  <c:v>October</c:v>
                </c:pt>
                <c:pt idx="22">
                  <c:v>November</c:v>
                </c:pt>
                <c:pt idx="23">
                  <c:v>December</c:v>
                </c:pt>
              </c:strCache>
            </c:strRef>
          </c:cat>
          <c:val>
            <c:numRef>
              <c:f>('5 year'!$H$257,'5 year'!$H$258,'5 year'!$H$259,'5 year'!$H$260,'5 year'!$H$261,'5 year'!$H$262,'5 year'!$H$263,'5 year'!$H$264,'5 year'!$H$265,'5 year'!$H$266,'5 year'!$H$267,'5 year'!$H$268,'5 year'!$I$257,'5 year'!$I$258,'5 year'!$I$259,'5 year'!$I$260,'5 year'!$I$261,'5 year'!$I$262,'5 year'!$I$263,'5 year'!$I$264,'5 year'!$I$265,'5 year'!$I$266,'5 year'!$I$267,'5 year'!$I$268)</c:f>
              <c:numCache>
                <c:formatCode>General</c:formatCode>
                <c:ptCount val="24"/>
                <c:pt idx="0">
                  <c:v>345</c:v>
                </c:pt>
                <c:pt idx="1">
                  <c:v>236</c:v>
                </c:pt>
                <c:pt idx="2">
                  <c:v>304</c:v>
                </c:pt>
                <c:pt idx="3">
                  <c:v>286</c:v>
                </c:pt>
                <c:pt idx="4">
                  <c:v>311</c:v>
                </c:pt>
                <c:pt idx="5">
                  <c:v>278</c:v>
                </c:pt>
                <c:pt idx="6">
                  <c:v>330</c:v>
                </c:pt>
                <c:pt idx="7">
                  <c:v>324</c:v>
                </c:pt>
                <c:pt idx="8">
                  <c:v>267</c:v>
                </c:pt>
                <c:pt idx="9">
                  <c:v>379</c:v>
                </c:pt>
                <c:pt idx="10">
                  <c:v>288</c:v>
                </c:pt>
                <c:pt idx="11">
                  <c:v>306</c:v>
                </c:pt>
                <c:pt idx="12">
                  <c:v>250</c:v>
                </c:pt>
                <c:pt idx="13">
                  <c:v>230</c:v>
                </c:pt>
                <c:pt idx="14">
                  <c:v>290</c:v>
                </c:pt>
                <c:pt idx="15">
                  <c:v>279</c:v>
                </c:pt>
                <c:pt idx="16">
                  <c:v>324</c:v>
                </c:pt>
                <c:pt idx="17">
                  <c:v>334</c:v>
                </c:pt>
                <c:pt idx="18">
                  <c:v>370</c:v>
                </c:pt>
                <c:pt idx="19">
                  <c:v>361</c:v>
                </c:pt>
                <c:pt idx="20">
                  <c:v>388</c:v>
                </c:pt>
                <c:pt idx="21">
                  <c:v>336</c:v>
                </c:pt>
                <c:pt idx="22">
                  <c:v>358</c:v>
                </c:pt>
                <c:pt idx="23">
                  <c:v>335</c:v>
                </c:pt>
              </c:numCache>
            </c:numRef>
          </c:val>
          <c:smooth val="0"/>
        </c:ser>
        <c:dLbls>
          <c:showLegendKey val="0"/>
          <c:showVal val="0"/>
          <c:showCatName val="0"/>
          <c:showSerName val="0"/>
          <c:showPercent val="0"/>
          <c:showBubbleSize val="0"/>
        </c:dLbls>
        <c:marker val="1"/>
        <c:smooth val="0"/>
        <c:axId val="804381696"/>
        <c:axId val="953782208"/>
      </c:lineChart>
      <c:catAx>
        <c:axId val="804381696"/>
        <c:scaling>
          <c:orientation val="minMax"/>
        </c:scaling>
        <c:delete val="0"/>
        <c:axPos val="b"/>
        <c:numFmt formatCode="[$-409]mmmm\-yy;@" sourceLinked="0"/>
        <c:majorTickMark val="out"/>
        <c:minorTickMark val="none"/>
        <c:tickLblPos val="nextTo"/>
        <c:crossAx val="953782208"/>
        <c:crosses val="autoZero"/>
        <c:auto val="1"/>
        <c:lblAlgn val="ctr"/>
        <c:lblOffset val="100"/>
        <c:noMultiLvlLbl val="0"/>
      </c:catAx>
      <c:valAx>
        <c:axId val="953782208"/>
        <c:scaling>
          <c:orientation val="minMax"/>
        </c:scaling>
        <c:delete val="0"/>
        <c:axPos val="l"/>
        <c:majorGridlines/>
        <c:numFmt formatCode="General" sourceLinked="1"/>
        <c:majorTickMark val="out"/>
        <c:minorTickMark val="none"/>
        <c:tickLblPos val="nextTo"/>
        <c:crossAx val="804381696"/>
        <c:crosses val="autoZero"/>
        <c:crossBetween val="between"/>
      </c:valAx>
      <c:spPr>
        <a:solidFill>
          <a:schemeClr val="bg2"/>
        </a:solidFill>
      </c:spPr>
    </c:plotArea>
    <c:plotVisOnly val="1"/>
    <c:dispBlanksAs val="gap"/>
    <c:showDLblsOverMax val="0"/>
  </c:chart>
  <c:spPr>
    <a:solidFill>
      <a:schemeClr val="bg2">
        <a:lumMod val="75000"/>
      </a:schemeClr>
    </a:solidFill>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Burglary</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rgbClr val="2F14F8"/>
            </a:solidFill>
          </c:spPr>
          <c:invertIfNegative val="0"/>
          <c:dPt>
            <c:idx val="0"/>
            <c:invertIfNegative val="0"/>
            <c:bubble3D val="0"/>
            <c:spPr>
              <a:solidFill>
                <a:schemeClr val="tx1"/>
              </a:solidFill>
            </c:spPr>
          </c:dPt>
          <c:dPt>
            <c:idx val="6"/>
            <c:invertIfNegative val="0"/>
            <c:bubble3D val="0"/>
            <c:spPr>
              <a:solidFill>
                <a:srgbClr val="FF0000"/>
              </a:solidFill>
            </c:spPr>
          </c:dPt>
          <c:dLbls>
            <c:showLegendKey val="0"/>
            <c:showVal val="1"/>
            <c:showCatName val="0"/>
            <c:showSerName val="0"/>
            <c:showPercent val="0"/>
            <c:showBubbleSize val="0"/>
            <c:showLeaderLines val="0"/>
          </c:dLbls>
          <c:cat>
            <c:strRef>
              <c:f>'5 year'!$C$190:$I$190</c:f>
              <c:strCache>
                <c:ptCount val="7"/>
                <c:pt idx="0">
                  <c:v>5Yr Avg.</c:v>
                </c:pt>
                <c:pt idx="1">
                  <c:v>2011</c:v>
                </c:pt>
                <c:pt idx="2">
                  <c:v>2012</c:v>
                </c:pt>
                <c:pt idx="3">
                  <c:v>2013</c:v>
                </c:pt>
                <c:pt idx="4">
                  <c:v>2014</c:v>
                </c:pt>
                <c:pt idx="5">
                  <c:v>2015</c:v>
                </c:pt>
                <c:pt idx="6">
                  <c:v>2016</c:v>
                </c:pt>
              </c:strCache>
            </c:strRef>
          </c:cat>
          <c:val>
            <c:numRef>
              <c:f>'5 year'!$C$203:$I$203</c:f>
              <c:numCache>
                <c:formatCode>General</c:formatCode>
                <c:ptCount val="7"/>
                <c:pt idx="0" formatCode="0">
                  <c:v>773</c:v>
                </c:pt>
                <c:pt idx="1">
                  <c:v>994</c:v>
                </c:pt>
                <c:pt idx="2">
                  <c:v>948</c:v>
                </c:pt>
                <c:pt idx="3">
                  <c:v>687</c:v>
                </c:pt>
                <c:pt idx="4">
                  <c:v>622</c:v>
                </c:pt>
                <c:pt idx="5">
                  <c:v>614</c:v>
                </c:pt>
                <c:pt idx="6">
                  <c:v>650</c:v>
                </c:pt>
              </c:numCache>
            </c:numRef>
          </c:val>
        </c:ser>
        <c:dLbls>
          <c:showLegendKey val="0"/>
          <c:showVal val="0"/>
          <c:showCatName val="0"/>
          <c:showSerName val="0"/>
          <c:showPercent val="0"/>
          <c:showBubbleSize val="0"/>
        </c:dLbls>
        <c:gapWidth val="150"/>
        <c:shape val="box"/>
        <c:axId val="648045568"/>
        <c:axId val="953783360"/>
        <c:axId val="0"/>
      </c:bar3DChart>
      <c:catAx>
        <c:axId val="648045568"/>
        <c:scaling>
          <c:orientation val="minMax"/>
        </c:scaling>
        <c:delete val="0"/>
        <c:axPos val="b"/>
        <c:numFmt formatCode="General" sourceLinked="1"/>
        <c:majorTickMark val="none"/>
        <c:minorTickMark val="none"/>
        <c:tickLblPos val="nextTo"/>
        <c:txPr>
          <a:bodyPr/>
          <a:lstStyle/>
          <a:p>
            <a:pPr>
              <a:defRPr b="1"/>
            </a:pPr>
            <a:endParaRPr lang="en-US"/>
          </a:p>
        </c:txPr>
        <c:crossAx val="953783360"/>
        <c:crosses val="autoZero"/>
        <c:auto val="1"/>
        <c:lblAlgn val="ctr"/>
        <c:lblOffset val="100"/>
        <c:noMultiLvlLbl val="0"/>
      </c:catAx>
      <c:valAx>
        <c:axId val="953783360"/>
        <c:scaling>
          <c:orientation val="minMax"/>
        </c:scaling>
        <c:delete val="0"/>
        <c:axPos val="l"/>
        <c:majorGridlines/>
        <c:numFmt formatCode="0" sourceLinked="1"/>
        <c:majorTickMark val="none"/>
        <c:minorTickMark val="none"/>
        <c:tickLblPos val="nextTo"/>
        <c:txPr>
          <a:bodyPr/>
          <a:lstStyle/>
          <a:p>
            <a:pPr>
              <a:defRPr b="1"/>
            </a:pPr>
            <a:endParaRPr lang="en-US"/>
          </a:p>
        </c:txPr>
        <c:crossAx val="648045568"/>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Larceny</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rgbClr val="2F14F8"/>
            </a:solidFill>
          </c:spPr>
          <c:invertIfNegative val="0"/>
          <c:dPt>
            <c:idx val="0"/>
            <c:invertIfNegative val="0"/>
            <c:bubble3D val="0"/>
            <c:spPr>
              <a:solidFill>
                <a:schemeClr val="tx1"/>
              </a:solidFill>
            </c:spPr>
          </c:dPt>
          <c:dPt>
            <c:idx val="6"/>
            <c:invertIfNegative val="0"/>
            <c:bubble3D val="0"/>
            <c:spPr>
              <a:solidFill>
                <a:srgbClr val="FF0000"/>
              </a:solidFill>
            </c:spPr>
          </c:dPt>
          <c:cat>
            <c:strRef>
              <c:f>'5 year'!$C$234:$I$234</c:f>
              <c:strCache>
                <c:ptCount val="7"/>
                <c:pt idx="0">
                  <c:v>5Yr Avg.</c:v>
                </c:pt>
                <c:pt idx="1">
                  <c:v>2011</c:v>
                </c:pt>
                <c:pt idx="2">
                  <c:v>2012</c:v>
                </c:pt>
                <c:pt idx="3">
                  <c:v>2013</c:v>
                </c:pt>
                <c:pt idx="4">
                  <c:v>2014</c:v>
                </c:pt>
                <c:pt idx="5">
                  <c:v>2015</c:v>
                </c:pt>
                <c:pt idx="6">
                  <c:v>2016</c:v>
                </c:pt>
              </c:strCache>
            </c:strRef>
          </c:cat>
          <c:val>
            <c:numRef>
              <c:f>'5 year'!$C$247:$I$247</c:f>
              <c:numCache>
                <c:formatCode>General</c:formatCode>
                <c:ptCount val="7"/>
                <c:pt idx="0" formatCode="0">
                  <c:v>2736.2</c:v>
                </c:pt>
                <c:pt idx="1">
                  <c:v>2547</c:v>
                </c:pt>
                <c:pt idx="2">
                  <c:v>2617</c:v>
                </c:pt>
                <c:pt idx="3">
                  <c:v>2774</c:v>
                </c:pt>
                <c:pt idx="4">
                  <c:v>2873</c:v>
                </c:pt>
                <c:pt idx="5">
                  <c:v>2870</c:v>
                </c:pt>
                <c:pt idx="6">
                  <c:v>3023</c:v>
                </c:pt>
              </c:numCache>
            </c:numRef>
          </c:val>
        </c:ser>
        <c:dLbls>
          <c:showLegendKey val="0"/>
          <c:showVal val="1"/>
          <c:showCatName val="0"/>
          <c:showSerName val="0"/>
          <c:showPercent val="0"/>
          <c:showBubbleSize val="0"/>
        </c:dLbls>
        <c:gapWidth val="150"/>
        <c:shape val="box"/>
        <c:axId val="648047616"/>
        <c:axId val="953785088"/>
        <c:axId val="0"/>
      </c:bar3DChart>
      <c:catAx>
        <c:axId val="648047616"/>
        <c:scaling>
          <c:orientation val="minMax"/>
        </c:scaling>
        <c:delete val="0"/>
        <c:axPos val="b"/>
        <c:numFmt formatCode="General" sourceLinked="1"/>
        <c:majorTickMark val="none"/>
        <c:minorTickMark val="none"/>
        <c:tickLblPos val="nextTo"/>
        <c:txPr>
          <a:bodyPr/>
          <a:lstStyle/>
          <a:p>
            <a:pPr>
              <a:defRPr b="1"/>
            </a:pPr>
            <a:endParaRPr lang="en-US"/>
          </a:p>
        </c:txPr>
        <c:crossAx val="953785088"/>
        <c:crosses val="autoZero"/>
        <c:auto val="1"/>
        <c:lblAlgn val="ctr"/>
        <c:lblOffset val="100"/>
        <c:noMultiLvlLbl val="0"/>
      </c:catAx>
      <c:valAx>
        <c:axId val="953785088"/>
        <c:scaling>
          <c:orientation val="minMax"/>
        </c:scaling>
        <c:delete val="0"/>
        <c:axPos val="l"/>
        <c:majorGridlines/>
        <c:numFmt formatCode="0" sourceLinked="1"/>
        <c:majorTickMark val="none"/>
        <c:minorTickMark val="none"/>
        <c:tickLblPos val="nextTo"/>
        <c:txPr>
          <a:bodyPr/>
          <a:lstStyle/>
          <a:p>
            <a:pPr>
              <a:defRPr b="1"/>
            </a:pPr>
            <a:endParaRPr lang="en-US"/>
          </a:p>
        </c:txPr>
        <c:crossAx val="648047616"/>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Auto Theft</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rgbClr val="2F14F8"/>
            </a:solidFill>
          </c:spPr>
          <c:invertIfNegative val="0"/>
          <c:dPt>
            <c:idx val="0"/>
            <c:invertIfNegative val="0"/>
            <c:bubble3D val="0"/>
            <c:spPr>
              <a:solidFill>
                <a:schemeClr val="tx1"/>
              </a:solidFill>
            </c:spPr>
          </c:dPt>
          <c:dPt>
            <c:idx val="6"/>
            <c:invertIfNegative val="0"/>
            <c:bubble3D val="0"/>
            <c:spPr>
              <a:solidFill>
                <a:srgbClr val="FF0000"/>
              </a:solidFill>
            </c:spPr>
          </c:dPt>
          <c:cat>
            <c:strRef>
              <c:f>'5 year'!$C$212:$I$212</c:f>
              <c:strCache>
                <c:ptCount val="7"/>
                <c:pt idx="0">
                  <c:v>5Yr Avg.</c:v>
                </c:pt>
                <c:pt idx="1">
                  <c:v>2011</c:v>
                </c:pt>
                <c:pt idx="2">
                  <c:v>2012</c:v>
                </c:pt>
                <c:pt idx="3">
                  <c:v>2013</c:v>
                </c:pt>
                <c:pt idx="4">
                  <c:v>2014</c:v>
                </c:pt>
                <c:pt idx="5">
                  <c:v>2015</c:v>
                </c:pt>
                <c:pt idx="6">
                  <c:v>2016</c:v>
                </c:pt>
              </c:strCache>
            </c:strRef>
          </c:cat>
          <c:val>
            <c:numRef>
              <c:f>'5 year'!$C$225:$I$225</c:f>
              <c:numCache>
                <c:formatCode>General</c:formatCode>
                <c:ptCount val="7"/>
                <c:pt idx="0" formatCode="0">
                  <c:v>150.4</c:v>
                </c:pt>
                <c:pt idx="1">
                  <c:v>151</c:v>
                </c:pt>
                <c:pt idx="2">
                  <c:v>161</c:v>
                </c:pt>
                <c:pt idx="3">
                  <c:v>127</c:v>
                </c:pt>
                <c:pt idx="4">
                  <c:v>143</c:v>
                </c:pt>
                <c:pt idx="5">
                  <c:v>170</c:v>
                </c:pt>
                <c:pt idx="6">
                  <c:v>182</c:v>
                </c:pt>
              </c:numCache>
            </c:numRef>
          </c:val>
        </c:ser>
        <c:dLbls>
          <c:showLegendKey val="0"/>
          <c:showVal val="1"/>
          <c:showCatName val="0"/>
          <c:showSerName val="0"/>
          <c:showPercent val="0"/>
          <c:showBubbleSize val="0"/>
        </c:dLbls>
        <c:gapWidth val="150"/>
        <c:shape val="box"/>
        <c:axId val="804382208"/>
        <c:axId val="956809792"/>
        <c:axId val="0"/>
      </c:bar3DChart>
      <c:catAx>
        <c:axId val="804382208"/>
        <c:scaling>
          <c:orientation val="minMax"/>
        </c:scaling>
        <c:delete val="0"/>
        <c:axPos val="b"/>
        <c:numFmt formatCode="General" sourceLinked="1"/>
        <c:majorTickMark val="none"/>
        <c:minorTickMark val="none"/>
        <c:tickLblPos val="nextTo"/>
        <c:txPr>
          <a:bodyPr/>
          <a:lstStyle/>
          <a:p>
            <a:pPr>
              <a:defRPr b="1"/>
            </a:pPr>
            <a:endParaRPr lang="en-US"/>
          </a:p>
        </c:txPr>
        <c:crossAx val="956809792"/>
        <c:crosses val="autoZero"/>
        <c:auto val="1"/>
        <c:lblAlgn val="ctr"/>
        <c:lblOffset val="100"/>
        <c:noMultiLvlLbl val="0"/>
      </c:catAx>
      <c:valAx>
        <c:axId val="956809792"/>
        <c:scaling>
          <c:orientation val="minMax"/>
        </c:scaling>
        <c:delete val="0"/>
        <c:axPos val="l"/>
        <c:majorGridlines/>
        <c:numFmt formatCode="0" sourceLinked="1"/>
        <c:majorTickMark val="none"/>
        <c:minorTickMark val="none"/>
        <c:tickLblPos val="nextTo"/>
        <c:txPr>
          <a:bodyPr/>
          <a:lstStyle/>
          <a:p>
            <a:pPr>
              <a:defRPr b="1"/>
            </a:pPr>
            <a:endParaRPr lang="en-US"/>
          </a:p>
        </c:txPr>
        <c:crossAx val="804382208"/>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24-month Total 911 phone calls </a:t>
            </a:r>
            <a:endParaRPr lang="en-US"/>
          </a:p>
        </c:rich>
      </c:tx>
      <c:overlay val="0"/>
    </c:title>
    <c:autoTitleDeleted val="0"/>
    <c:plotArea>
      <c:layout>
        <c:manualLayout>
          <c:layoutTarget val="inner"/>
          <c:xMode val="edge"/>
          <c:yMode val="edge"/>
          <c:x val="5.4347826988350084E-2"/>
          <c:y val="0.15406163342966941"/>
          <c:w val="0.9380434938189216"/>
          <c:h val="0.53221291548431227"/>
        </c:manualLayout>
      </c:layout>
      <c:lineChart>
        <c:grouping val="standard"/>
        <c:varyColors val="0"/>
        <c:ser>
          <c:idx val="0"/>
          <c:order val="0"/>
          <c:tx>
            <c:v>Property Crimes past 24 months</c:v>
          </c:tx>
          <c:spPr>
            <a:ln>
              <a:solidFill>
                <a:schemeClr val="tx1"/>
              </a:solidFill>
            </a:ln>
          </c:spPr>
          <c:marker>
            <c:spPr>
              <a:solidFill>
                <a:schemeClr val="tx1"/>
              </a:solidFill>
            </c:spPr>
          </c:marker>
          <c:trendline>
            <c:trendlineType val="linear"/>
            <c:dispRSqr val="0"/>
            <c:dispEq val="0"/>
          </c:trendline>
          <c:trendline>
            <c:trendlineType val="linear"/>
            <c:dispRSqr val="0"/>
            <c:dispEq val="0"/>
          </c:trendline>
          <c:cat>
            <c:strRef>
              <c:f>'Phone Calls'!$A$48:$A$71</c:f>
              <c:strCache>
                <c:ptCount val="24"/>
                <c:pt idx="0">
                  <c:v>Jan-14</c:v>
                </c:pt>
                <c:pt idx="1">
                  <c:v>Feb</c:v>
                </c:pt>
                <c:pt idx="2">
                  <c:v>Mar</c:v>
                </c:pt>
                <c:pt idx="3">
                  <c:v>Apr</c:v>
                </c:pt>
                <c:pt idx="4">
                  <c:v>May</c:v>
                </c:pt>
                <c:pt idx="5">
                  <c:v>June</c:v>
                </c:pt>
                <c:pt idx="6">
                  <c:v>Jul-14</c:v>
                </c:pt>
                <c:pt idx="7">
                  <c:v>Aug</c:v>
                </c:pt>
                <c:pt idx="8">
                  <c:v>Sep</c:v>
                </c:pt>
                <c:pt idx="9">
                  <c:v>Oct</c:v>
                </c:pt>
                <c:pt idx="10">
                  <c:v>Nov</c:v>
                </c:pt>
                <c:pt idx="11">
                  <c:v>Dec</c:v>
                </c:pt>
                <c:pt idx="12">
                  <c:v>Jan-15</c:v>
                </c:pt>
                <c:pt idx="13">
                  <c:v>Feb</c:v>
                </c:pt>
                <c:pt idx="14">
                  <c:v>Mar</c:v>
                </c:pt>
                <c:pt idx="15">
                  <c:v>Apr</c:v>
                </c:pt>
                <c:pt idx="16">
                  <c:v>May</c:v>
                </c:pt>
                <c:pt idx="17">
                  <c:v>June</c:v>
                </c:pt>
                <c:pt idx="18">
                  <c:v>Jul-15</c:v>
                </c:pt>
                <c:pt idx="19">
                  <c:v>Aug</c:v>
                </c:pt>
                <c:pt idx="20">
                  <c:v>Sep</c:v>
                </c:pt>
                <c:pt idx="21">
                  <c:v>Oct </c:v>
                </c:pt>
                <c:pt idx="22">
                  <c:v>Nov</c:v>
                </c:pt>
                <c:pt idx="23">
                  <c:v>Dec</c:v>
                </c:pt>
              </c:strCache>
            </c:strRef>
          </c:cat>
          <c:val>
            <c:numRef>
              <c:f>('Phone Calls'!$H$4,'Phone Calls'!$H$5,'Phone Calls'!$H$6,'Phone Calls'!$H$7,'Phone Calls'!$H$8,'Phone Calls'!$H$9,'Phone Calls'!$H$10,'Phone Calls'!$H$11,'Phone Calls'!$H$12,'Phone Calls'!$H$13,'Phone Calls'!$H$14,'Phone Calls'!$H$15,'Phone Calls'!$J$4,'Phone Calls'!$J$5,'Phone Calls'!$J$6,'Phone Calls'!$J$7,'Phone Calls'!$J$8,'Phone Calls'!$J$9,'Phone Calls'!$J$10,'Phone Calls'!$J$11,'Phone Calls'!$J$12,'Phone Calls'!$J$13,'Phone Calls'!$J$14,'Phone Calls'!$J$15)</c:f>
              <c:numCache>
                <c:formatCode>General</c:formatCode>
                <c:ptCount val="24"/>
                <c:pt idx="0">
                  <c:v>5984</c:v>
                </c:pt>
                <c:pt idx="1">
                  <c:v>5543</c:v>
                </c:pt>
                <c:pt idx="2">
                  <c:v>6605</c:v>
                </c:pt>
                <c:pt idx="3">
                  <c:v>6989</c:v>
                </c:pt>
                <c:pt idx="4">
                  <c:v>7218</c:v>
                </c:pt>
                <c:pt idx="5">
                  <c:v>7582</c:v>
                </c:pt>
                <c:pt idx="6">
                  <c:v>8177</c:v>
                </c:pt>
                <c:pt idx="7">
                  <c:v>7954</c:v>
                </c:pt>
                <c:pt idx="8">
                  <c:v>7341</c:v>
                </c:pt>
                <c:pt idx="9">
                  <c:v>7936</c:v>
                </c:pt>
                <c:pt idx="10">
                  <c:v>7347</c:v>
                </c:pt>
                <c:pt idx="11">
                  <c:v>7491</c:v>
                </c:pt>
                <c:pt idx="12">
                  <c:v>7199</c:v>
                </c:pt>
                <c:pt idx="13">
                  <c:v>6581</c:v>
                </c:pt>
                <c:pt idx="14">
                  <c:v>7480</c:v>
                </c:pt>
                <c:pt idx="15">
                  <c:v>8035</c:v>
                </c:pt>
                <c:pt idx="16">
                  <c:v>8407</c:v>
                </c:pt>
                <c:pt idx="17">
                  <c:v>8446</c:v>
                </c:pt>
                <c:pt idx="18">
                  <c:v>8516</c:v>
                </c:pt>
                <c:pt idx="19">
                  <c:v>7993</c:v>
                </c:pt>
                <c:pt idx="20">
                  <c:v>7451</c:v>
                </c:pt>
                <c:pt idx="21">
                  <c:v>7271</c:v>
                </c:pt>
                <c:pt idx="22">
                  <c:v>7228</c:v>
                </c:pt>
                <c:pt idx="23">
                  <c:v>7430</c:v>
                </c:pt>
              </c:numCache>
            </c:numRef>
          </c:val>
          <c:smooth val="0"/>
        </c:ser>
        <c:dLbls>
          <c:showLegendKey val="0"/>
          <c:showVal val="0"/>
          <c:showCatName val="0"/>
          <c:showSerName val="0"/>
          <c:showPercent val="0"/>
          <c:showBubbleSize val="0"/>
        </c:dLbls>
        <c:marker val="1"/>
        <c:smooth val="0"/>
        <c:axId val="648045056"/>
        <c:axId val="956812096"/>
      </c:lineChart>
      <c:catAx>
        <c:axId val="648045056"/>
        <c:scaling>
          <c:orientation val="minMax"/>
        </c:scaling>
        <c:delete val="0"/>
        <c:axPos val="b"/>
        <c:numFmt formatCode="[$-409]mmmm\-yy;@" sourceLinked="0"/>
        <c:majorTickMark val="out"/>
        <c:minorTickMark val="none"/>
        <c:tickLblPos val="nextTo"/>
        <c:crossAx val="956812096"/>
        <c:crosses val="autoZero"/>
        <c:auto val="1"/>
        <c:lblAlgn val="ctr"/>
        <c:lblOffset val="100"/>
        <c:noMultiLvlLbl val="0"/>
      </c:catAx>
      <c:valAx>
        <c:axId val="956812096"/>
        <c:scaling>
          <c:orientation val="minMax"/>
        </c:scaling>
        <c:delete val="0"/>
        <c:axPos val="l"/>
        <c:majorGridlines/>
        <c:numFmt formatCode="General" sourceLinked="1"/>
        <c:majorTickMark val="out"/>
        <c:minorTickMark val="none"/>
        <c:tickLblPos val="nextTo"/>
        <c:crossAx val="648045056"/>
        <c:crosses val="autoZero"/>
        <c:crossBetween val="between"/>
      </c:valAx>
      <c:spPr>
        <a:solidFill>
          <a:schemeClr val="bg2"/>
        </a:solidFill>
      </c:spPr>
    </c:plotArea>
    <c:plotVisOnly val="1"/>
    <c:dispBlanksAs val="gap"/>
    <c:showDLblsOverMax val="0"/>
  </c:chart>
  <c:spPr>
    <a:solidFill>
      <a:schemeClr val="bg2">
        <a:lumMod val="75000"/>
      </a:schemeClr>
    </a:solidFill>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24-month Total Admin phone calls </a:t>
            </a:r>
            <a:endParaRPr lang="en-US"/>
          </a:p>
        </c:rich>
      </c:tx>
      <c:overlay val="0"/>
    </c:title>
    <c:autoTitleDeleted val="0"/>
    <c:plotArea>
      <c:layout>
        <c:manualLayout>
          <c:layoutTarget val="inner"/>
          <c:xMode val="edge"/>
          <c:yMode val="edge"/>
          <c:x val="5.4347826988350084E-2"/>
          <c:y val="0.15406163342966941"/>
          <c:w val="0.9380434938189216"/>
          <c:h val="0.53221291548431227"/>
        </c:manualLayout>
      </c:layout>
      <c:lineChart>
        <c:grouping val="standard"/>
        <c:varyColors val="0"/>
        <c:ser>
          <c:idx val="0"/>
          <c:order val="0"/>
          <c:tx>
            <c:v>+'Phone Calls'!$K$3</c:v>
          </c:tx>
          <c:spPr>
            <a:ln>
              <a:solidFill>
                <a:schemeClr val="tx1"/>
              </a:solidFill>
            </a:ln>
          </c:spPr>
          <c:marker>
            <c:spPr>
              <a:solidFill>
                <a:schemeClr val="tx1"/>
              </a:solidFill>
            </c:spPr>
          </c:marker>
          <c:trendline>
            <c:trendlineType val="linear"/>
            <c:dispRSqr val="0"/>
            <c:dispEq val="0"/>
          </c:trendline>
          <c:trendline>
            <c:trendlineType val="linear"/>
            <c:dispRSqr val="0"/>
            <c:dispEq val="0"/>
          </c:trendline>
          <c:cat>
            <c:strRef>
              <c:f>'Phone Calls'!$A$48:$A$71</c:f>
              <c:strCache>
                <c:ptCount val="24"/>
                <c:pt idx="0">
                  <c:v>Jan-14</c:v>
                </c:pt>
                <c:pt idx="1">
                  <c:v>Feb</c:v>
                </c:pt>
                <c:pt idx="2">
                  <c:v>Mar</c:v>
                </c:pt>
                <c:pt idx="3">
                  <c:v>Apr</c:v>
                </c:pt>
                <c:pt idx="4">
                  <c:v>May</c:v>
                </c:pt>
                <c:pt idx="5">
                  <c:v>June</c:v>
                </c:pt>
                <c:pt idx="6">
                  <c:v>Jul-14</c:v>
                </c:pt>
                <c:pt idx="7">
                  <c:v>Aug</c:v>
                </c:pt>
                <c:pt idx="8">
                  <c:v>Sep</c:v>
                </c:pt>
                <c:pt idx="9">
                  <c:v>Oct</c:v>
                </c:pt>
                <c:pt idx="10">
                  <c:v>Nov</c:v>
                </c:pt>
                <c:pt idx="11">
                  <c:v>Dec</c:v>
                </c:pt>
                <c:pt idx="12">
                  <c:v>Jan-15</c:v>
                </c:pt>
                <c:pt idx="13">
                  <c:v>Feb</c:v>
                </c:pt>
                <c:pt idx="14">
                  <c:v>Mar</c:v>
                </c:pt>
                <c:pt idx="15">
                  <c:v>Apr</c:v>
                </c:pt>
                <c:pt idx="16">
                  <c:v>May</c:v>
                </c:pt>
                <c:pt idx="17">
                  <c:v>June</c:v>
                </c:pt>
                <c:pt idx="18">
                  <c:v>Jul-15</c:v>
                </c:pt>
                <c:pt idx="19">
                  <c:v>Aug</c:v>
                </c:pt>
                <c:pt idx="20">
                  <c:v>Sep</c:v>
                </c:pt>
                <c:pt idx="21">
                  <c:v>Oct </c:v>
                </c:pt>
                <c:pt idx="22">
                  <c:v>Nov</c:v>
                </c:pt>
                <c:pt idx="23">
                  <c:v>Dec</c:v>
                </c:pt>
              </c:strCache>
            </c:strRef>
          </c:cat>
          <c:val>
            <c:numRef>
              <c:f>('Phone Calls'!$I$4,'Phone Calls'!$I$5,'Phone Calls'!$I$6,'Phone Calls'!$I$7,'Phone Calls'!$I$8,'Phone Calls'!$I$9,'Phone Calls'!$I$10,'Phone Calls'!$I$11,'Phone Calls'!$I$12,'Phone Calls'!$I$13,'Phone Calls'!$I$14,'Phone Calls'!$I$15,'Phone Calls'!$K$4,'Phone Calls'!$K$5,'Phone Calls'!$K$6,'Phone Calls'!$K$7,'Phone Calls'!$K$8,'Phone Calls'!$K$9,'Phone Calls'!$K$10,'Phone Calls'!$K$11,'Phone Calls'!$K$12,'Phone Calls'!$K$13,'Phone Calls'!$K$14,'Phone Calls'!$K$15)</c:f>
              <c:numCache>
                <c:formatCode>General</c:formatCode>
                <c:ptCount val="24"/>
                <c:pt idx="0">
                  <c:v>19634</c:v>
                </c:pt>
                <c:pt idx="1">
                  <c:v>17135</c:v>
                </c:pt>
                <c:pt idx="2">
                  <c:v>19402</c:v>
                </c:pt>
                <c:pt idx="3">
                  <c:v>19764</c:v>
                </c:pt>
                <c:pt idx="4">
                  <c:v>20529</c:v>
                </c:pt>
                <c:pt idx="5">
                  <c:v>20689</c:v>
                </c:pt>
                <c:pt idx="6">
                  <c:v>22192</c:v>
                </c:pt>
                <c:pt idx="7">
                  <c:v>21554</c:v>
                </c:pt>
                <c:pt idx="8">
                  <c:v>19638</c:v>
                </c:pt>
                <c:pt idx="9">
                  <c:v>19495</c:v>
                </c:pt>
                <c:pt idx="10">
                  <c:v>17663</c:v>
                </c:pt>
                <c:pt idx="11">
                  <c:v>18101</c:v>
                </c:pt>
                <c:pt idx="12">
                  <c:v>18257</c:v>
                </c:pt>
                <c:pt idx="13">
                  <c:v>16370</c:v>
                </c:pt>
                <c:pt idx="14">
                  <c:v>18759</c:v>
                </c:pt>
                <c:pt idx="15">
                  <c:v>19575</c:v>
                </c:pt>
                <c:pt idx="16">
                  <c:v>20175</c:v>
                </c:pt>
                <c:pt idx="17">
                  <c:v>19683</c:v>
                </c:pt>
                <c:pt idx="18">
                  <c:v>21165</c:v>
                </c:pt>
                <c:pt idx="19">
                  <c:v>19912</c:v>
                </c:pt>
                <c:pt idx="20">
                  <c:v>18158</c:v>
                </c:pt>
                <c:pt idx="21">
                  <c:v>19065</c:v>
                </c:pt>
                <c:pt idx="22">
                  <c:v>16637</c:v>
                </c:pt>
                <c:pt idx="23">
                  <c:v>17579</c:v>
                </c:pt>
              </c:numCache>
            </c:numRef>
          </c:val>
          <c:smooth val="0"/>
        </c:ser>
        <c:dLbls>
          <c:showLegendKey val="0"/>
          <c:showVal val="0"/>
          <c:showCatName val="0"/>
          <c:showSerName val="0"/>
          <c:showPercent val="0"/>
          <c:showBubbleSize val="0"/>
        </c:dLbls>
        <c:marker val="1"/>
        <c:smooth val="0"/>
        <c:axId val="747628544"/>
        <c:axId val="956813824"/>
      </c:lineChart>
      <c:catAx>
        <c:axId val="747628544"/>
        <c:scaling>
          <c:orientation val="minMax"/>
        </c:scaling>
        <c:delete val="0"/>
        <c:axPos val="b"/>
        <c:numFmt formatCode="[$-409]mmmm\-yy;@" sourceLinked="0"/>
        <c:majorTickMark val="out"/>
        <c:minorTickMark val="none"/>
        <c:tickLblPos val="nextTo"/>
        <c:crossAx val="956813824"/>
        <c:crosses val="autoZero"/>
        <c:auto val="1"/>
        <c:lblAlgn val="ctr"/>
        <c:lblOffset val="100"/>
        <c:noMultiLvlLbl val="0"/>
      </c:catAx>
      <c:valAx>
        <c:axId val="956813824"/>
        <c:scaling>
          <c:orientation val="minMax"/>
        </c:scaling>
        <c:delete val="0"/>
        <c:axPos val="l"/>
        <c:majorGridlines/>
        <c:numFmt formatCode="General" sourceLinked="1"/>
        <c:majorTickMark val="out"/>
        <c:minorTickMark val="none"/>
        <c:tickLblPos val="nextTo"/>
        <c:crossAx val="747628544"/>
        <c:crosses val="autoZero"/>
        <c:crossBetween val="between"/>
      </c:valAx>
      <c:spPr>
        <a:solidFill>
          <a:schemeClr val="bg2"/>
        </a:solidFill>
      </c:spPr>
    </c:plotArea>
    <c:plotVisOnly val="1"/>
    <c:dispBlanksAs val="gap"/>
    <c:showDLblsOverMax val="0"/>
  </c:chart>
  <c:spPr>
    <a:solidFill>
      <a:schemeClr val="bg2">
        <a:lumMod val="75000"/>
      </a:schemeClr>
    </a:soli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4209598983957227E-2"/>
          <c:y val="0.16749889847084229"/>
          <c:w val="0.81686576120473753"/>
          <c:h val="0.70430370251098762"/>
        </c:manualLayout>
      </c:layout>
      <c:pie3DChart>
        <c:varyColors val="1"/>
        <c:ser>
          <c:idx val="0"/>
          <c:order val="0"/>
          <c:tx>
            <c:v>Violent Crimes</c:v>
          </c:tx>
          <c:explosion val="25"/>
          <c:dPt>
            <c:idx val="0"/>
            <c:bubble3D val="0"/>
            <c:spPr>
              <a:solidFill>
                <a:srgbClr val="3333FF"/>
              </a:solidFill>
            </c:spPr>
          </c:dPt>
          <c:dPt>
            <c:idx val="1"/>
            <c:bubble3D val="0"/>
            <c:spPr>
              <a:solidFill>
                <a:srgbClr val="FF0000"/>
              </a:solidFill>
            </c:spPr>
          </c:dPt>
          <c:dPt>
            <c:idx val="2"/>
            <c:bubble3D val="0"/>
            <c:explosion val="26"/>
            <c:spPr>
              <a:solidFill>
                <a:srgbClr val="31B131"/>
              </a:solidFill>
            </c:spPr>
          </c:dPt>
          <c:dPt>
            <c:idx val="3"/>
            <c:bubble3D val="0"/>
            <c:spPr>
              <a:solidFill>
                <a:srgbClr val="FFFF00"/>
              </a:solidFill>
            </c:spPr>
          </c:dPt>
          <c:dLbls>
            <c:dLbl>
              <c:idx val="0"/>
              <c:showLegendKey val="0"/>
              <c:showVal val="0"/>
              <c:showCatName val="0"/>
              <c:showSerName val="0"/>
              <c:showPercent val="1"/>
              <c:showBubbleSize val="0"/>
            </c:dLbl>
            <c:txPr>
              <a:bodyPr/>
              <a:lstStyle/>
              <a:p>
                <a:pPr>
                  <a:defRPr sz="1000" b="1"/>
                </a:pPr>
                <a:endParaRPr lang="en-US"/>
              </a:p>
            </c:txPr>
            <c:dLblPos val="bestFit"/>
            <c:showLegendKey val="0"/>
            <c:showVal val="0"/>
            <c:showCatName val="0"/>
            <c:showSerName val="0"/>
            <c:showPercent val="1"/>
            <c:showBubbleSize val="0"/>
            <c:showLeaderLines val="0"/>
          </c:dLbls>
          <c:cat>
            <c:strRef>
              <c:f>('5 year'!$B$3:$I$3,'5 year'!$B$29:$I$29,'5 year'!$B$54:$I$54,'5 year'!$B$78:$I$78,'5 year'!$B$102:$I$102)</c:f>
              <c:strCache>
                <c:ptCount val="5"/>
                <c:pt idx="0">
                  <c:v>Homicide</c:v>
                </c:pt>
                <c:pt idx="1">
                  <c:v>Forcible Rape</c:v>
                </c:pt>
                <c:pt idx="2">
                  <c:v>Robbery</c:v>
                </c:pt>
                <c:pt idx="3">
                  <c:v>Aggravated Assault</c:v>
                </c:pt>
                <c:pt idx="4">
                  <c:v>Violent Crimes</c:v>
                </c:pt>
              </c:strCache>
            </c:strRef>
          </c:cat>
          <c:val>
            <c:numRef>
              <c:f>('5 year'!$I$17,'5 year'!$I$43,'5 year'!$I$68,'5 year'!$I$92)</c:f>
              <c:numCache>
                <c:formatCode>General</c:formatCode>
                <c:ptCount val="4"/>
                <c:pt idx="0">
                  <c:v>10</c:v>
                </c:pt>
                <c:pt idx="1">
                  <c:v>42</c:v>
                </c:pt>
                <c:pt idx="2">
                  <c:v>102</c:v>
                </c:pt>
                <c:pt idx="3">
                  <c:v>68</c:v>
                </c:pt>
              </c:numCache>
            </c:numRef>
          </c:val>
        </c:ser>
        <c:dLbls>
          <c:showLegendKey val="0"/>
          <c:showVal val="0"/>
          <c:showCatName val="0"/>
          <c:showSerName val="0"/>
          <c:showPercent val="0"/>
          <c:showBubbleSize val="0"/>
          <c:showLeaderLines val="0"/>
        </c:dLbls>
      </c:pie3DChart>
      <c:spPr>
        <a:noFill/>
        <a:ln w="25400">
          <a:noFill/>
        </a:ln>
      </c:spPr>
    </c:plotArea>
    <c:legend>
      <c:legendPos val="b"/>
      <c:overlay val="0"/>
    </c:legend>
    <c:plotVisOnly val="1"/>
    <c:dispBlanksAs val="zero"/>
    <c:showDLblsOverMax val="0"/>
  </c:chart>
  <c:spPr>
    <a:solidFill>
      <a:schemeClr val="bg2">
        <a:lumMod val="75000"/>
      </a:schemeClr>
    </a:solidFill>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Calls</a:t>
            </a:r>
            <a:r>
              <a:rPr lang="en-US" baseline="0"/>
              <a:t> for Service</a:t>
            </a:r>
            <a:endParaRPr lang="en-US"/>
          </a:p>
        </c:rich>
      </c:tx>
      <c:overlay val="0"/>
    </c:title>
    <c:autoTitleDeleted val="0"/>
    <c:view3D>
      <c:rotX val="15"/>
      <c:rotY val="20"/>
      <c:depthPercent val="100"/>
      <c:rAngAx val="1"/>
    </c:view3D>
    <c:floor>
      <c:thickness val="0"/>
      <c:spPr>
        <a:solidFill>
          <a:schemeClr val="bg2"/>
        </a:solidFill>
      </c:spPr>
    </c:floor>
    <c:sideWall>
      <c:thickness val="0"/>
      <c:spPr>
        <a:solidFill>
          <a:schemeClr val="bg2"/>
        </a:solidFill>
      </c:spPr>
    </c:sideWall>
    <c:backWall>
      <c:thickness val="0"/>
      <c:spPr>
        <a:solidFill>
          <a:schemeClr val="bg2"/>
        </a:solidFill>
      </c:spPr>
    </c:backWall>
    <c:plotArea>
      <c:layout>
        <c:manualLayout>
          <c:layoutTarget val="inner"/>
          <c:xMode val="edge"/>
          <c:yMode val="edge"/>
          <c:x val="0.10977886868250725"/>
          <c:y val="0.16598642625293153"/>
          <c:w val="0.87563697020861153"/>
          <c:h val="0.73519048284644894"/>
        </c:manualLayout>
      </c:layout>
      <c:bar3DChart>
        <c:barDir val="col"/>
        <c:grouping val="clustered"/>
        <c:varyColors val="0"/>
        <c:ser>
          <c:idx val="0"/>
          <c:order val="0"/>
          <c:tx>
            <c:strRef>
              <c:f>'Calls for Service'!$AE$25:$AM$25</c:f>
              <c:strCache>
                <c:ptCount val="1"/>
                <c:pt idx="0">
                  <c:v>CALLS FOR SERVICE</c:v>
                </c:pt>
              </c:strCache>
            </c:strRef>
          </c:tx>
          <c:spPr>
            <a:solidFill>
              <a:srgbClr val="2F14F8"/>
            </a:solidFill>
          </c:spPr>
          <c:invertIfNegative val="0"/>
          <c:dPt>
            <c:idx val="0"/>
            <c:invertIfNegative val="0"/>
            <c:bubble3D val="0"/>
            <c:spPr>
              <a:solidFill>
                <a:schemeClr val="tx1"/>
              </a:solidFill>
            </c:spPr>
          </c:dPt>
          <c:dPt>
            <c:idx val="6"/>
            <c:invertIfNegative val="0"/>
            <c:bubble3D val="0"/>
          </c:dPt>
          <c:dPt>
            <c:idx val="7"/>
            <c:invertIfNegative val="0"/>
            <c:bubble3D val="0"/>
            <c:spPr>
              <a:solidFill>
                <a:srgbClr val="FF0000"/>
              </a:solidFill>
            </c:spPr>
          </c:dPt>
          <c:dLbls>
            <c:showLegendKey val="0"/>
            <c:showVal val="1"/>
            <c:showCatName val="0"/>
            <c:showSerName val="0"/>
            <c:showPercent val="0"/>
            <c:showBubbleSize val="0"/>
            <c:showLeaderLines val="0"/>
          </c:dLbls>
          <c:cat>
            <c:strRef>
              <c:f>'Calls for Service'!$AF$26:$AM$26</c:f>
              <c:strCache>
                <c:ptCount val="8"/>
                <c:pt idx="0">
                  <c:v>5-Yr Avg.</c:v>
                </c:pt>
                <c:pt idx="1">
                  <c:v>2010</c:v>
                </c:pt>
                <c:pt idx="2">
                  <c:v>2011</c:v>
                </c:pt>
                <c:pt idx="3">
                  <c:v>2012</c:v>
                </c:pt>
                <c:pt idx="4">
                  <c:v>2013</c:v>
                </c:pt>
                <c:pt idx="5">
                  <c:v>2014</c:v>
                </c:pt>
                <c:pt idx="6">
                  <c:v>2015</c:v>
                </c:pt>
                <c:pt idx="7">
                  <c:v>2016</c:v>
                </c:pt>
              </c:strCache>
            </c:strRef>
          </c:cat>
          <c:val>
            <c:numRef>
              <c:f>'Calls for Service'!$AF$39:$AM$39</c:f>
              <c:numCache>
                <c:formatCode>#,##0</c:formatCode>
                <c:ptCount val="8"/>
                <c:pt idx="0">
                  <c:v>149128.33333333334</c:v>
                </c:pt>
                <c:pt idx="1">
                  <c:v>168677</c:v>
                </c:pt>
                <c:pt idx="2">
                  <c:v>171489</c:v>
                </c:pt>
                <c:pt idx="3">
                  <c:v>153647</c:v>
                </c:pt>
                <c:pt idx="4">
                  <c:v>132363</c:v>
                </c:pt>
                <c:pt idx="5">
                  <c:v>129362</c:v>
                </c:pt>
                <c:pt idx="6">
                  <c:v>139232</c:v>
                </c:pt>
                <c:pt idx="7">
                  <c:v>136127</c:v>
                </c:pt>
              </c:numCache>
            </c:numRef>
          </c:val>
        </c:ser>
        <c:dLbls>
          <c:showLegendKey val="0"/>
          <c:showVal val="0"/>
          <c:showCatName val="0"/>
          <c:showSerName val="0"/>
          <c:showPercent val="0"/>
          <c:showBubbleSize val="0"/>
        </c:dLbls>
        <c:gapWidth val="150"/>
        <c:shape val="box"/>
        <c:axId val="804382720"/>
        <c:axId val="956815552"/>
        <c:axId val="0"/>
      </c:bar3DChart>
      <c:catAx>
        <c:axId val="804382720"/>
        <c:scaling>
          <c:orientation val="minMax"/>
        </c:scaling>
        <c:delete val="0"/>
        <c:axPos val="b"/>
        <c:numFmt formatCode="General" sourceLinked="1"/>
        <c:majorTickMark val="out"/>
        <c:minorTickMark val="none"/>
        <c:tickLblPos val="nextTo"/>
        <c:txPr>
          <a:bodyPr/>
          <a:lstStyle/>
          <a:p>
            <a:pPr>
              <a:defRPr b="1"/>
            </a:pPr>
            <a:endParaRPr lang="en-US"/>
          </a:p>
        </c:txPr>
        <c:crossAx val="956815552"/>
        <c:crosses val="autoZero"/>
        <c:auto val="1"/>
        <c:lblAlgn val="ctr"/>
        <c:lblOffset val="100"/>
        <c:noMultiLvlLbl val="0"/>
      </c:catAx>
      <c:valAx>
        <c:axId val="956815552"/>
        <c:scaling>
          <c:orientation val="minMax"/>
        </c:scaling>
        <c:delete val="0"/>
        <c:axPos val="l"/>
        <c:majorGridlines/>
        <c:numFmt formatCode="#,##0" sourceLinked="1"/>
        <c:majorTickMark val="out"/>
        <c:minorTickMark val="none"/>
        <c:tickLblPos val="nextTo"/>
        <c:crossAx val="804382720"/>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Officer Initiated</a:t>
            </a:r>
            <a:r>
              <a:rPr lang="en-US" baseline="0"/>
              <a:t> Calls</a:t>
            </a:r>
            <a:endParaRPr lang="en-US"/>
          </a:p>
        </c:rich>
      </c:tx>
      <c:overlay val="0"/>
    </c:title>
    <c:autoTitleDeleted val="0"/>
    <c:view3D>
      <c:rotX val="15"/>
      <c:rotY val="20"/>
      <c:depthPercent val="100"/>
      <c:rAngAx val="1"/>
    </c:view3D>
    <c:floor>
      <c:thickness val="0"/>
      <c:spPr>
        <a:solidFill>
          <a:schemeClr val="bg2"/>
        </a:solidFill>
      </c:spPr>
    </c:floor>
    <c:sideWall>
      <c:thickness val="0"/>
      <c:spPr>
        <a:solidFill>
          <a:schemeClr val="bg2"/>
        </a:solidFill>
      </c:spPr>
    </c:sideWall>
    <c:backWall>
      <c:thickness val="0"/>
      <c:spPr>
        <a:solidFill>
          <a:schemeClr val="bg2"/>
        </a:solidFill>
      </c:spPr>
    </c:backWall>
    <c:plotArea>
      <c:layout>
        <c:manualLayout>
          <c:layoutTarget val="inner"/>
          <c:xMode val="edge"/>
          <c:yMode val="edge"/>
          <c:x val="0.10977886868250725"/>
          <c:y val="0.16598642625293153"/>
          <c:w val="0.87563697020861153"/>
          <c:h val="0.73519048284644894"/>
        </c:manualLayout>
      </c:layout>
      <c:bar3DChart>
        <c:barDir val="col"/>
        <c:grouping val="clustered"/>
        <c:varyColors val="0"/>
        <c:ser>
          <c:idx val="0"/>
          <c:order val="0"/>
          <c:tx>
            <c:strRef>
              <c:f>'Calls for Service'!$AO$25:$AW$25</c:f>
              <c:strCache>
                <c:ptCount val="1"/>
                <c:pt idx="0">
                  <c:v>OFFICER INITIATED CALLS</c:v>
                </c:pt>
              </c:strCache>
            </c:strRef>
          </c:tx>
          <c:spPr>
            <a:solidFill>
              <a:srgbClr val="2F14F8"/>
            </a:solidFill>
          </c:spPr>
          <c:invertIfNegative val="0"/>
          <c:dPt>
            <c:idx val="0"/>
            <c:invertIfNegative val="0"/>
            <c:bubble3D val="0"/>
            <c:spPr>
              <a:solidFill>
                <a:schemeClr val="tx1"/>
              </a:solidFill>
            </c:spPr>
          </c:dPt>
          <c:dPt>
            <c:idx val="6"/>
            <c:invertIfNegative val="0"/>
            <c:bubble3D val="0"/>
          </c:dPt>
          <c:dPt>
            <c:idx val="7"/>
            <c:invertIfNegative val="0"/>
            <c:bubble3D val="0"/>
            <c:spPr>
              <a:solidFill>
                <a:srgbClr val="FF0000"/>
              </a:solidFill>
            </c:spPr>
          </c:dPt>
          <c:dLbls>
            <c:showLegendKey val="0"/>
            <c:showVal val="1"/>
            <c:showCatName val="0"/>
            <c:showSerName val="0"/>
            <c:showPercent val="0"/>
            <c:showBubbleSize val="0"/>
            <c:showLeaderLines val="0"/>
          </c:dLbls>
          <c:cat>
            <c:strRef>
              <c:f>'Calls for Service'!$AP$26:$AW$26</c:f>
              <c:strCache>
                <c:ptCount val="8"/>
                <c:pt idx="0">
                  <c:v>5-Yr Avg.</c:v>
                </c:pt>
                <c:pt idx="1">
                  <c:v>2010</c:v>
                </c:pt>
                <c:pt idx="2">
                  <c:v>2011</c:v>
                </c:pt>
                <c:pt idx="3">
                  <c:v>2012</c:v>
                </c:pt>
                <c:pt idx="4">
                  <c:v>2013</c:v>
                </c:pt>
                <c:pt idx="5">
                  <c:v>2014</c:v>
                </c:pt>
                <c:pt idx="6">
                  <c:v>2015</c:v>
                </c:pt>
                <c:pt idx="7">
                  <c:v>2016</c:v>
                </c:pt>
              </c:strCache>
            </c:strRef>
          </c:cat>
          <c:val>
            <c:numRef>
              <c:f>'Calls for Service'!$AP$39:$AW$39</c:f>
              <c:numCache>
                <c:formatCode>#,##0</c:formatCode>
                <c:ptCount val="8"/>
                <c:pt idx="0">
                  <c:v>85883.6</c:v>
                </c:pt>
                <c:pt idx="1">
                  <c:v>103382</c:v>
                </c:pt>
                <c:pt idx="2">
                  <c:v>106757</c:v>
                </c:pt>
                <c:pt idx="3">
                  <c:v>87199</c:v>
                </c:pt>
                <c:pt idx="4">
                  <c:v>67516</c:v>
                </c:pt>
                <c:pt idx="5">
                  <c:v>64564</c:v>
                </c:pt>
                <c:pt idx="6">
                  <c:v>66326</c:v>
                </c:pt>
                <c:pt idx="7">
                  <c:v>61637</c:v>
                </c:pt>
              </c:numCache>
            </c:numRef>
          </c:val>
        </c:ser>
        <c:dLbls>
          <c:showLegendKey val="0"/>
          <c:showVal val="0"/>
          <c:showCatName val="0"/>
          <c:showSerName val="0"/>
          <c:showPercent val="0"/>
          <c:showBubbleSize val="0"/>
        </c:dLbls>
        <c:gapWidth val="150"/>
        <c:shape val="box"/>
        <c:axId val="736718848"/>
        <c:axId val="956816704"/>
        <c:axId val="0"/>
      </c:bar3DChart>
      <c:catAx>
        <c:axId val="736718848"/>
        <c:scaling>
          <c:orientation val="minMax"/>
        </c:scaling>
        <c:delete val="0"/>
        <c:axPos val="b"/>
        <c:numFmt formatCode="General" sourceLinked="1"/>
        <c:majorTickMark val="out"/>
        <c:minorTickMark val="none"/>
        <c:tickLblPos val="nextTo"/>
        <c:txPr>
          <a:bodyPr/>
          <a:lstStyle/>
          <a:p>
            <a:pPr>
              <a:defRPr b="1"/>
            </a:pPr>
            <a:endParaRPr lang="en-US"/>
          </a:p>
        </c:txPr>
        <c:crossAx val="956816704"/>
        <c:crosses val="autoZero"/>
        <c:auto val="1"/>
        <c:lblAlgn val="ctr"/>
        <c:lblOffset val="100"/>
        <c:noMultiLvlLbl val="0"/>
      </c:catAx>
      <c:valAx>
        <c:axId val="956816704"/>
        <c:scaling>
          <c:orientation val="minMax"/>
        </c:scaling>
        <c:delete val="0"/>
        <c:axPos val="l"/>
        <c:majorGridlines/>
        <c:numFmt formatCode="#,##0" sourceLinked="1"/>
        <c:majorTickMark val="out"/>
        <c:minorTickMark val="none"/>
        <c:tickLblPos val="nextTo"/>
        <c:crossAx val="736718848"/>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Citizen Initiated Calls</a:t>
            </a:r>
          </a:p>
        </c:rich>
      </c:tx>
      <c:overlay val="0"/>
    </c:title>
    <c:autoTitleDeleted val="0"/>
    <c:view3D>
      <c:rotX val="15"/>
      <c:rotY val="20"/>
      <c:depthPercent val="100"/>
      <c:rAngAx val="1"/>
    </c:view3D>
    <c:floor>
      <c:thickness val="0"/>
      <c:spPr>
        <a:solidFill>
          <a:schemeClr val="bg2"/>
        </a:solidFill>
      </c:spPr>
    </c:floor>
    <c:sideWall>
      <c:thickness val="0"/>
      <c:spPr>
        <a:solidFill>
          <a:schemeClr val="bg2"/>
        </a:solidFill>
      </c:spPr>
    </c:sideWall>
    <c:backWall>
      <c:thickness val="0"/>
      <c:spPr>
        <a:solidFill>
          <a:schemeClr val="bg2"/>
        </a:solidFill>
      </c:spPr>
    </c:backWall>
    <c:plotArea>
      <c:layout>
        <c:manualLayout>
          <c:layoutTarget val="inner"/>
          <c:xMode val="edge"/>
          <c:yMode val="edge"/>
          <c:x val="0.10977886868250725"/>
          <c:y val="0.16598642625293153"/>
          <c:w val="0.87563697020861153"/>
          <c:h val="0.73519048284644894"/>
        </c:manualLayout>
      </c:layout>
      <c:bar3DChart>
        <c:barDir val="col"/>
        <c:grouping val="clustered"/>
        <c:varyColors val="0"/>
        <c:ser>
          <c:idx val="0"/>
          <c:order val="0"/>
          <c:tx>
            <c:strRef>
              <c:f>'Calls for Service'!$AY$25:$BG$25</c:f>
              <c:strCache>
                <c:ptCount val="1"/>
                <c:pt idx="0">
                  <c:v>CITIZEN INITIATED CALLS</c:v>
                </c:pt>
              </c:strCache>
            </c:strRef>
          </c:tx>
          <c:spPr>
            <a:solidFill>
              <a:srgbClr val="2F14F8"/>
            </a:solidFill>
          </c:spPr>
          <c:invertIfNegative val="0"/>
          <c:dPt>
            <c:idx val="0"/>
            <c:invertIfNegative val="0"/>
            <c:bubble3D val="0"/>
            <c:spPr>
              <a:solidFill>
                <a:schemeClr val="tx1"/>
              </a:solidFill>
            </c:spPr>
          </c:dPt>
          <c:dPt>
            <c:idx val="6"/>
            <c:invertIfNegative val="0"/>
            <c:bubble3D val="0"/>
          </c:dPt>
          <c:dPt>
            <c:idx val="7"/>
            <c:invertIfNegative val="0"/>
            <c:bubble3D val="0"/>
            <c:spPr>
              <a:solidFill>
                <a:srgbClr val="FF0000"/>
              </a:solidFill>
            </c:spPr>
          </c:dPt>
          <c:dLbls>
            <c:showLegendKey val="0"/>
            <c:showVal val="1"/>
            <c:showCatName val="0"/>
            <c:showSerName val="0"/>
            <c:showPercent val="0"/>
            <c:showBubbleSize val="0"/>
            <c:showLeaderLines val="0"/>
          </c:dLbls>
          <c:cat>
            <c:strRef>
              <c:f>'Calls for Service'!$AZ$26:$BG$26</c:f>
              <c:strCache>
                <c:ptCount val="8"/>
                <c:pt idx="0">
                  <c:v>5-Yr Avg.</c:v>
                </c:pt>
                <c:pt idx="1">
                  <c:v>2010</c:v>
                </c:pt>
                <c:pt idx="2">
                  <c:v>2011</c:v>
                </c:pt>
                <c:pt idx="3">
                  <c:v>2012</c:v>
                </c:pt>
                <c:pt idx="4">
                  <c:v>2013</c:v>
                </c:pt>
                <c:pt idx="5">
                  <c:v>2014</c:v>
                </c:pt>
                <c:pt idx="6">
                  <c:v>2015</c:v>
                </c:pt>
                <c:pt idx="7">
                  <c:v>2016</c:v>
                </c:pt>
              </c:strCache>
            </c:strRef>
          </c:cat>
          <c:val>
            <c:numRef>
              <c:f>'Calls for Service'!$AZ$39:$BG$39</c:f>
              <c:numCache>
                <c:formatCode>#,##0</c:formatCode>
                <c:ptCount val="8"/>
                <c:pt idx="0">
                  <c:v>66504.333333333328</c:v>
                </c:pt>
                <c:pt idx="1">
                  <c:v>65295</c:v>
                </c:pt>
                <c:pt idx="2">
                  <c:v>64732</c:v>
                </c:pt>
                <c:pt idx="3">
                  <c:v>66448</c:v>
                </c:pt>
                <c:pt idx="4">
                  <c:v>64847</c:v>
                </c:pt>
                <c:pt idx="5">
                  <c:v>64798</c:v>
                </c:pt>
                <c:pt idx="6">
                  <c:v>72906</c:v>
                </c:pt>
                <c:pt idx="7">
                  <c:v>74490</c:v>
                </c:pt>
              </c:numCache>
            </c:numRef>
          </c:val>
        </c:ser>
        <c:dLbls>
          <c:showLegendKey val="0"/>
          <c:showVal val="0"/>
          <c:showCatName val="0"/>
          <c:showSerName val="0"/>
          <c:showPercent val="0"/>
          <c:showBubbleSize val="0"/>
        </c:dLbls>
        <c:gapWidth val="150"/>
        <c:shape val="box"/>
        <c:axId val="648046080"/>
        <c:axId val="737346688"/>
        <c:axId val="0"/>
      </c:bar3DChart>
      <c:catAx>
        <c:axId val="648046080"/>
        <c:scaling>
          <c:orientation val="minMax"/>
        </c:scaling>
        <c:delete val="0"/>
        <c:axPos val="b"/>
        <c:numFmt formatCode="General" sourceLinked="1"/>
        <c:majorTickMark val="out"/>
        <c:minorTickMark val="none"/>
        <c:tickLblPos val="nextTo"/>
        <c:txPr>
          <a:bodyPr/>
          <a:lstStyle/>
          <a:p>
            <a:pPr>
              <a:defRPr b="1"/>
            </a:pPr>
            <a:endParaRPr lang="en-US"/>
          </a:p>
        </c:txPr>
        <c:crossAx val="737346688"/>
        <c:crosses val="autoZero"/>
        <c:auto val="1"/>
        <c:lblAlgn val="ctr"/>
        <c:lblOffset val="100"/>
        <c:noMultiLvlLbl val="0"/>
      </c:catAx>
      <c:valAx>
        <c:axId val="737346688"/>
        <c:scaling>
          <c:orientation val="minMax"/>
        </c:scaling>
        <c:delete val="0"/>
        <c:axPos val="l"/>
        <c:majorGridlines/>
        <c:numFmt formatCode="#,##0" sourceLinked="1"/>
        <c:majorTickMark val="out"/>
        <c:minorTickMark val="none"/>
        <c:tickLblPos val="nextTo"/>
        <c:crossAx val="648046080"/>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 Crashes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'Traffic Data 5 yr'!$B$69:$I$69</c:f>
              <c:strCache>
                <c:ptCount val="1"/>
                <c:pt idx="0">
                  <c:v> Total Crashes </c:v>
                </c:pt>
              </c:strCache>
            </c:strRef>
          </c:tx>
          <c:spPr>
            <a:solidFill>
              <a:schemeClr val="accent1">
                <a:lumMod val="75000"/>
              </a:schemeClr>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cat>
            <c:strRef>
              <c:f>'Traffic Data 5 yr'!$C$70:$I$70</c:f>
              <c:strCache>
                <c:ptCount val="7"/>
                <c:pt idx="0">
                  <c:v>5Yr Avg.</c:v>
                </c:pt>
                <c:pt idx="1">
                  <c:v>2011</c:v>
                </c:pt>
                <c:pt idx="2">
                  <c:v>2012</c:v>
                </c:pt>
                <c:pt idx="3">
                  <c:v>2013</c:v>
                </c:pt>
                <c:pt idx="4">
                  <c:v>2014</c:v>
                </c:pt>
                <c:pt idx="5">
                  <c:v>2015</c:v>
                </c:pt>
                <c:pt idx="6">
                  <c:v>2016</c:v>
                </c:pt>
              </c:strCache>
            </c:strRef>
          </c:cat>
          <c:val>
            <c:numRef>
              <c:f>'Traffic Data 5 yr'!$C$83:$I$83</c:f>
              <c:numCache>
                <c:formatCode>General</c:formatCode>
                <c:ptCount val="7"/>
                <c:pt idx="0" formatCode="0">
                  <c:v>3056.8</c:v>
                </c:pt>
                <c:pt idx="1">
                  <c:v>2934</c:v>
                </c:pt>
                <c:pt idx="2">
                  <c:v>2820</c:v>
                </c:pt>
                <c:pt idx="3">
                  <c:v>3086</c:v>
                </c:pt>
                <c:pt idx="4">
                  <c:v>3115</c:v>
                </c:pt>
                <c:pt idx="5">
                  <c:v>3329</c:v>
                </c:pt>
                <c:pt idx="6">
                  <c:v>3563</c:v>
                </c:pt>
              </c:numCache>
            </c:numRef>
          </c:val>
        </c:ser>
        <c:dLbls>
          <c:showLegendKey val="0"/>
          <c:showVal val="1"/>
          <c:showCatName val="0"/>
          <c:showSerName val="0"/>
          <c:showPercent val="0"/>
          <c:showBubbleSize val="0"/>
        </c:dLbls>
        <c:gapWidth val="150"/>
        <c:shape val="box"/>
        <c:axId val="736719872"/>
        <c:axId val="737347840"/>
        <c:axId val="0"/>
      </c:bar3DChart>
      <c:catAx>
        <c:axId val="736719872"/>
        <c:scaling>
          <c:orientation val="minMax"/>
        </c:scaling>
        <c:delete val="0"/>
        <c:axPos val="b"/>
        <c:numFmt formatCode="0" sourceLinked="1"/>
        <c:majorTickMark val="none"/>
        <c:minorTickMark val="none"/>
        <c:tickLblPos val="nextTo"/>
        <c:txPr>
          <a:bodyPr/>
          <a:lstStyle/>
          <a:p>
            <a:pPr>
              <a:defRPr b="1"/>
            </a:pPr>
            <a:endParaRPr lang="en-US"/>
          </a:p>
        </c:txPr>
        <c:crossAx val="737347840"/>
        <c:crosses val="autoZero"/>
        <c:auto val="1"/>
        <c:lblAlgn val="ctr"/>
        <c:lblOffset val="100"/>
        <c:noMultiLvlLbl val="0"/>
      </c:catAx>
      <c:valAx>
        <c:axId val="737347840"/>
        <c:scaling>
          <c:orientation val="minMax"/>
        </c:scaling>
        <c:delete val="0"/>
        <c:axPos val="l"/>
        <c:majorGridlines/>
        <c:numFmt formatCode="0" sourceLinked="1"/>
        <c:majorTickMark val="none"/>
        <c:minorTickMark val="none"/>
        <c:tickLblPos val="nextTo"/>
        <c:txPr>
          <a:bodyPr/>
          <a:lstStyle/>
          <a:p>
            <a:pPr>
              <a:defRPr b="1"/>
            </a:pPr>
            <a:endParaRPr lang="en-US"/>
          </a:p>
        </c:txPr>
        <c:crossAx val="736719872"/>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24-Month Total Crashes</a:t>
            </a:r>
          </a:p>
        </c:rich>
      </c:tx>
      <c:overlay val="0"/>
    </c:title>
    <c:autoTitleDeleted val="0"/>
    <c:plotArea>
      <c:layout/>
      <c:lineChart>
        <c:grouping val="standard"/>
        <c:varyColors val="0"/>
        <c:ser>
          <c:idx val="0"/>
          <c:order val="0"/>
          <c:tx>
            <c:v>24-Mo Total Crashes</c:v>
          </c:tx>
          <c:spPr>
            <a:ln>
              <a:solidFill>
                <a:sysClr val="windowText" lastClr="000000">
                  <a:shade val="95000"/>
                  <a:satMod val="105000"/>
                </a:sysClr>
              </a:solidFill>
            </a:ln>
          </c:spPr>
          <c:marker>
            <c:spPr>
              <a:solidFill>
                <a:sysClr val="windowText" lastClr="000000"/>
              </a:solidFill>
            </c:spPr>
          </c:marker>
          <c:dLbls>
            <c:delete val="1"/>
          </c:dLbls>
          <c:trendline>
            <c:trendlineType val="linear"/>
            <c:dispRSqr val="0"/>
            <c:dispEq val="0"/>
          </c:trendline>
          <c:cat>
            <c:strRef>
              <c:f>'Traffic Data 5 yr'!$AN$84:$AN$107</c:f>
              <c:strCache>
                <c:ptCount val="24"/>
                <c:pt idx="0">
                  <c:v>Jan-15</c:v>
                </c:pt>
                <c:pt idx="1">
                  <c:v>February</c:v>
                </c:pt>
                <c:pt idx="2">
                  <c:v>March</c:v>
                </c:pt>
                <c:pt idx="3">
                  <c:v>April</c:v>
                </c:pt>
                <c:pt idx="4">
                  <c:v>May</c:v>
                </c:pt>
                <c:pt idx="5">
                  <c:v>June</c:v>
                </c:pt>
                <c:pt idx="6">
                  <c:v>Jul-15</c:v>
                </c:pt>
                <c:pt idx="7">
                  <c:v>August</c:v>
                </c:pt>
                <c:pt idx="8">
                  <c:v>September</c:v>
                </c:pt>
                <c:pt idx="9">
                  <c:v>October</c:v>
                </c:pt>
                <c:pt idx="10">
                  <c:v>November</c:v>
                </c:pt>
                <c:pt idx="11">
                  <c:v>December</c:v>
                </c:pt>
                <c:pt idx="12">
                  <c:v>Jan-16</c:v>
                </c:pt>
                <c:pt idx="13">
                  <c:v>February</c:v>
                </c:pt>
                <c:pt idx="14">
                  <c:v>March</c:v>
                </c:pt>
                <c:pt idx="15">
                  <c:v>April</c:v>
                </c:pt>
                <c:pt idx="16">
                  <c:v>May</c:v>
                </c:pt>
                <c:pt idx="17">
                  <c:v>June</c:v>
                </c:pt>
                <c:pt idx="18">
                  <c:v>Jul-16</c:v>
                </c:pt>
                <c:pt idx="19">
                  <c:v>August</c:v>
                </c:pt>
                <c:pt idx="20">
                  <c:v>September</c:v>
                </c:pt>
                <c:pt idx="21">
                  <c:v>October</c:v>
                </c:pt>
                <c:pt idx="22">
                  <c:v>November</c:v>
                </c:pt>
                <c:pt idx="23">
                  <c:v>December</c:v>
                </c:pt>
              </c:strCache>
            </c:strRef>
          </c:cat>
          <c:val>
            <c:numRef>
              <c:f>('Traffic Data 5 yr'!$H$71,'Traffic Data 5 yr'!$H$72,'Traffic Data 5 yr'!$H$73,'Traffic Data 5 yr'!$H$74,'Traffic Data 5 yr'!$H$75,'Traffic Data 5 yr'!$H$76,'Traffic Data 5 yr'!$H$77,'Traffic Data 5 yr'!$H$78,'Traffic Data 5 yr'!$H$79,'Traffic Data 5 yr'!$H$80,'Traffic Data 5 yr'!$H$81,'Traffic Data 5 yr'!$H$82,'Traffic Data 5 yr'!$I$71,'Traffic Data 5 yr'!$I$72,'Traffic Data 5 yr'!$I$73,'Traffic Data 5 yr'!$I$74,'Traffic Data 5 yr'!$I$75,'Traffic Data 5 yr'!$I$76,'Traffic Data 5 yr'!$I$77,'Traffic Data 5 yr'!$I$78,'Traffic Data 5 yr'!$I$79,'Traffic Data 5 yr'!$I$80,'Traffic Data 5 yr'!$I$81,'Traffic Data 5 yr'!$I$82)</c:f>
              <c:numCache>
                <c:formatCode>General</c:formatCode>
                <c:ptCount val="24"/>
                <c:pt idx="0">
                  <c:v>254</c:v>
                </c:pt>
                <c:pt idx="1">
                  <c:v>260</c:v>
                </c:pt>
                <c:pt idx="2">
                  <c:v>274</c:v>
                </c:pt>
                <c:pt idx="3">
                  <c:v>282</c:v>
                </c:pt>
                <c:pt idx="4">
                  <c:v>271</c:v>
                </c:pt>
                <c:pt idx="5">
                  <c:v>272</c:v>
                </c:pt>
                <c:pt idx="6">
                  <c:v>308</c:v>
                </c:pt>
                <c:pt idx="7">
                  <c:v>283</c:v>
                </c:pt>
                <c:pt idx="8">
                  <c:v>281</c:v>
                </c:pt>
                <c:pt idx="9">
                  <c:v>282</c:v>
                </c:pt>
                <c:pt idx="10">
                  <c:v>248</c:v>
                </c:pt>
                <c:pt idx="11">
                  <c:v>314</c:v>
                </c:pt>
                <c:pt idx="12">
                  <c:v>229</c:v>
                </c:pt>
                <c:pt idx="13">
                  <c:v>292</c:v>
                </c:pt>
                <c:pt idx="14">
                  <c:v>315</c:v>
                </c:pt>
                <c:pt idx="15">
                  <c:v>344</c:v>
                </c:pt>
                <c:pt idx="16">
                  <c:v>275</c:v>
                </c:pt>
                <c:pt idx="17">
                  <c:v>293</c:v>
                </c:pt>
                <c:pt idx="18">
                  <c:v>335</c:v>
                </c:pt>
                <c:pt idx="19">
                  <c:v>324</c:v>
                </c:pt>
                <c:pt idx="20">
                  <c:v>303</c:v>
                </c:pt>
                <c:pt idx="21">
                  <c:v>283</c:v>
                </c:pt>
                <c:pt idx="22">
                  <c:v>295</c:v>
                </c:pt>
                <c:pt idx="23">
                  <c:v>275</c:v>
                </c:pt>
              </c:numCache>
            </c:numRef>
          </c:val>
          <c:smooth val="0"/>
        </c:ser>
        <c:dLbls>
          <c:showLegendKey val="0"/>
          <c:showVal val="1"/>
          <c:showCatName val="0"/>
          <c:showSerName val="0"/>
          <c:showPercent val="0"/>
          <c:showBubbleSize val="0"/>
        </c:dLbls>
        <c:marker val="1"/>
        <c:smooth val="0"/>
        <c:axId val="736720384"/>
        <c:axId val="737350144"/>
      </c:lineChart>
      <c:catAx>
        <c:axId val="736720384"/>
        <c:scaling>
          <c:orientation val="minMax"/>
        </c:scaling>
        <c:delete val="0"/>
        <c:axPos val="b"/>
        <c:numFmt formatCode="General" sourceLinked="1"/>
        <c:majorTickMark val="out"/>
        <c:minorTickMark val="none"/>
        <c:tickLblPos val="nextTo"/>
        <c:txPr>
          <a:bodyPr rot="-2700000" vert="horz"/>
          <a:lstStyle/>
          <a:p>
            <a:pPr>
              <a:defRPr b="0"/>
            </a:pPr>
            <a:endParaRPr lang="en-US"/>
          </a:p>
        </c:txPr>
        <c:crossAx val="737350144"/>
        <c:crosses val="autoZero"/>
        <c:auto val="1"/>
        <c:lblAlgn val="ctr"/>
        <c:lblOffset val="100"/>
        <c:noMultiLvlLbl val="0"/>
      </c:catAx>
      <c:valAx>
        <c:axId val="737350144"/>
        <c:scaling>
          <c:orientation val="minMax"/>
        </c:scaling>
        <c:delete val="0"/>
        <c:axPos val="l"/>
        <c:majorGridlines/>
        <c:numFmt formatCode="General" sourceLinked="1"/>
        <c:majorTickMark val="out"/>
        <c:minorTickMark val="none"/>
        <c:tickLblPos val="nextTo"/>
        <c:txPr>
          <a:bodyPr/>
          <a:lstStyle/>
          <a:p>
            <a:pPr>
              <a:defRPr b="1"/>
            </a:pPr>
            <a:endParaRPr lang="en-US"/>
          </a:p>
        </c:txPr>
        <c:crossAx val="736720384"/>
        <c:crosses val="autoZero"/>
        <c:crossBetween val="between"/>
      </c:valAx>
      <c:spPr>
        <a:solidFill>
          <a:schemeClr val="bg2"/>
        </a:solidFill>
      </c:spPr>
    </c:plotArea>
    <c:plotVisOnly val="1"/>
    <c:dispBlanksAs val="gap"/>
    <c:showDLblsOverMax val="0"/>
  </c:chart>
  <c:spPr>
    <a:solidFill>
      <a:schemeClr val="bg2">
        <a:lumMod val="75000"/>
      </a:schemeClr>
    </a:solidFill>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Property</a:t>
            </a:r>
            <a:r>
              <a:rPr lang="en-US" baseline="0"/>
              <a:t> Damage Only</a:t>
            </a:r>
            <a:endParaRPr lang="en-US"/>
          </a:p>
        </c:rich>
      </c:tx>
      <c:overlay val="0"/>
    </c:title>
    <c:autoTitleDeleted val="0"/>
    <c:view3D>
      <c:rotX val="15"/>
      <c:rotY val="20"/>
      <c:depthPercent val="14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'Traffic Data 5 yr'!$B$6:$I$6</c:f>
              <c:strCache>
                <c:ptCount val="1"/>
                <c:pt idx="0">
                  <c:v>Property Damage Only Crashes</c:v>
                </c:pt>
              </c:strCache>
            </c:strRef>
          </c:tx>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dLbls>
            <c:showLegendKey val="0"/>
            <c:showVal val="1"/>
            <c:showCatName val="0"/>
            <c:showSerName val="0"/>
            <c:showPercent val="0"/>
            <c:showBubbleSize val="0"/>
            <c:showLeaderLines val="0"/>
          </c:dLbls>
          <c:cat>
            <c:strRef>
              <c:f>'Traffic Data 5 yr'!$C$7:$I$7</c:f>
              <c:strCache>
                <c:ptCount val="7"/>
                <c:pt idx="0">
                  <c:v>5Yr Avg.</c:v>
                </c:pt>
                <c:pt idx="1">
                  <c:v>2011</c:v>
                </c:pt>
                <c:pt idx="2">
                  <c:v>2012</c:v>
                </c:pt>
                <c:pt idx="3">
                  <c:v>2013</c:v>
                </c:pt>
                <c:pt idx="4">
                  <c:v>2014</c:v>
                </c:pt>
                <c:pt idx="5">
                  <c:v>2015</c:v>
                </c:pt>
                <c:pt idx="6">
                  <c:v>2016</c:v>
                </c:pt>
              </c:strCache>
            </c:strRef>
          </c:cat>
          <c:val>
            <c:numRef>
              <c:f>'Traffic Data 5 yr'!$C$20:$I$20</c:f>
              <c:numCache>
                <c:formatCode>General</c:formatCode>
                <c:ptCount val="7"/>
                <c:pt idx="0" formatCode="0">
                  <c:v>2143</c:v>
                </c:pt>
                <c:pt idx="1">
                  <c:v>2026</c:v>
                </c:pt>
                <c:pt idx="2">
                  <c:v>1984</c:v>
                </c:pt>
                <c:pt idx="3">
                  <c:v>2180</c:v>
                </c:pt>
                <c:pt idx="4">
                  <c:v>2224</c:v>
                </c:pt>
                <c:pt idx="5">
                  <c:v>2301</c:v>
                </c:pt>
                <c:pt idx="6">
                  <c:v>2508</c:v>
                </c:pt>
              </c:numCache>
            </c:numRef>
          </c:val>
        </c:ser>
        <c:dLbls>
          <c:showLegendKey val="0"/>
          <c:showVal val="0"/>
          <c:showCatName val="0"/>
          <c:showSerName val="0"/>
          <c:showPercent val="0"/>
          <c:showBubbleSize val="0"/>
        </c:dLbls>
        <c:gapWidth val="150"/>
        <c:shape val="box"/>
        <c:axId val="736721920"/>
        <c:axId val="737351296"/>
        <c:axId val="0"/>
      </c:bar3DChart>
      <c:catAx>
        <c:axId val="736721920"/>
        <c:scaling>
          <c:orientation val="minMax"/>
        </c:scaling>
        <c:delete val="0"/>
        <c:axPos val="b"/>
        <c:numFmt formatCode="0" sourceLinked="1"/>
        <c:majorTickMark val="out"/>
        <c:minorTickMark val="none"/>
        <c:tickLblPos val="nextTo"/>
        <c:txPr>
          <a:bodyPr/>
          <a:lstStyle/>
          <a:p>
            <a:pPr>
              <a:defRPr b="1"/>
            </a:pPr>
            <a:endParaRPr lang="en-US"/>
          </a:p>
        </c:txPr>
        <c:crossAx val="737351296"/>
        <c:crosses val="autoZero"/>
        <c:auto val="1"/>
        <c:lblAlgn val="ctr"/>
        <c:lblOffset val="100"/>
        <c:noMultiLvlLbl val="0"/>
      </c:catAx>
      <c:valAx>
        <c:axId val="737351296"/>
        <c:scaling>
          <c:orientation val="minMax"/>
        </c:scaling>
        <c:delete val="0"/>
        <c:axPos val="l"/>
        <c:majorGridlines/>
        <c:numFmt formatCode="0" sourceLinked="1"/>
        <c:majorTickMark val="out"/>
        <c:minorTickMark val="none"/>
        <c:tickLblPos val="nextTo"/>
        <c:txPr>
          <a:bodyPr/>
          <a:lstStyle/>
          <a:p>
            <a:pPr>
              <a:defRPr b="1"/>
            </a:pPr>
            <a:endParaRPr lang="en-US"/>
          </a:p>
        </c:txPr>
        <c:crossAx val="736721920"/>
        <c:crosses val="autoZero"/>
        <c:crossBetween val="between"/>
      </c:valAx>
    </c:plotArea>
    <c:plotVisOnly val="1"/>
    <c:dispBlanksAs val="gap"/>
    <c:showDLblsOverMax val="0"/>
  </c:chart>
  <c:spPr>
    <a:solidFill>
      <a:schemeClr val="bg2">
        <a:lumMod val="75000"/>
      </a:schemeClr>
    </a:solidFill>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Crashes with Injuries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'Traffic Data 5 yr'!$B$27:$I$27</c:f>
              <c:strCache>
                <c:ptCount val="1"/>
                <c:pt idx="0">
                  <c:v>  Crashes with Injuries</c:v>
                </c:pt>
              </c:strCache>
            </c:strRef>
          </c:tx>
          <c:spPr>
            <a:solidFill>
              <a:schemeClr val="accent1">
                <a:lumMod val="75000"/>
              </a:schemeClr>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dLbls>
            <c:showLegendKey val="0"/>
            <c:showVal val="1"/>
            <c:showCatName val="0"/>
            <c:showSerName val="0"/>
            <c:showPercent val="0"/>
            <c:showBubbleSize val="0"/>
            <c:showLeaderLines val="0"/>
          </c:dLbls>
          <c:cat>
            <c:strRef>
              <c:f>'Traffic Data 5 yr'!$C$28:$I$28</c:f>
              <c:strCache>
                <c:ptCount val="7"/>
                <c:pt idx="0">
                  <c:v>5Yr Avg.</c:v>
                </c:pt>
                <c:pt idx="1">
                  <c:v>2011</c:v>
                </c:pt>
                <c:pt idx="2">
                  <c:v>2012</c:v>
                </c:pt>
                <c:pt idx="3">
                  <c:v>2013</c:v>
                </c:pt>
                <c:pt idx="4">
                  <c:v>2014</c:v>
                </c:pt>
                <c:pt idx="5">
                  <c:v>2015</c:v>
                </c:pt>
                <c:pt idx="6">
                  <c:v>2016</c:v>
                </c:pt>
              </c:strCache>
            </c:strRef>
          </c:cat>
          <c:val>
            <c:numRef>
              <c:f>'Traffic Data 5 yr'!$C$41:$I$41</c:f>
              <c:numCache>
                <c:formatCode>General</c:formatCode>
                <c:ptCount val="7"/>
                <c:pt idx="0" formatCode="0">
                  <c:v>915.6</c:v>
                </c:pt>
                <c:pt idx="1">
                  <c:v>888</c:v>
                </c:pt>
                <c:pt idx="2">
                  <c:v>882</c:v>
                </c:pt>
                <c:pt idx="3">
                  <c:v>902</c:v>
                </c:pt>
                <c:pt idx="4">
                  <c:v>886</c:v>
                </c:pt>
                <c:pt idx="5">
                  <c:v>1020</c:v>
                </c:pt>
                <c:pt idx="6">
                  <c:v>1047</c:v>
                </c:pt>
              </c:numCache>
            </c:numRef>
          </c:val>
        </c:ser>
        <c:dLbls>
          <c:showLegendKey val="0"/>
          <c:showVal val="0"/>
          <c:showCatName val="0"/>
          <c:showSerName val="0"/>
          <c:showPercent val="0"/>
          <c:showBubbleSize val="0"/>
        </c:dLbls>
        <c:gapWidth val="150"/>
        <c:shape val="box"/>
        <c:axId val="648046592"/>
        <c:axId val="737353024"/>
        <c:axId val="0"/>
      </c:bar3DChart>
      <c:catAx>
        <c:axId val="648046592"/>
        <c:scaling>
          <c:orientation val="minMax"/>
        </c:scaling>
        <c:delete val="0"/>
        <c:axPos val="b"/>
        <c:numFmt formatCode="0" sourceLinked="1"/>
        <c:majorTickMark val="none"/>
        <c:minorTickMark val="none"/>
        <c:tickLblPos val="nextTo"/>
        <c:txPr>
          <a:bodyPr/>
          <a:lstStyle/>
          <a:p>
            <a:pPr>
              <a:defRPr b="1"/>
            </a:pPr>
            <a:endParaRPr lang="en-US"/>
          </a:p>
        </c:txPr>
        <c:crossAx val="737353024"/>
        <c:crosses val="autoZero"/>
        <c:auto val="1"/>
        <c:lblAlgn val="ctr"/>
        <c:lblOffset val="100"/>
        <c:noMultiLvlLbl val="0"/>
      </c:catAx>
      <c:valAx>
        <c:axId val="737353024"/>
        <c:scaling>
          <c:orientation val="minMax"/>
        </c:scaling>
        <c:delete val="0"/>
        <c:axPos val="l"/>
        <c:majorGridlines/>
        <c:numFmt formatCode="0" sourceLinked="1"/>
        <c:majorTickMark val="none"/>
        <c:minorTickMark val="none"/>
        <c:tickLblPos val="nextTo"/>
        <c:txPr>
          <a:bodyPr/>
          <a:lstStyle/>
          <a:p>
            <a:pPr>
              <a:defRPr b="1"/>
            </a:pPr>
            <a:endParaRPr lang="en-US"/>
          </a:p>
        </c:txPr>
        <c:crossAx val="648046592"/>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Crashes with Fatalities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'Traffic Data 5 yr'!$B$48:$I$48</c:f>
              <c:strCache>
                <c:ptCount val="1"/>
                <c:pt idx="0">
                  <c:v>Crashes with Fatalities </c:v>
                </c:pt>
              </c:strCache>
            </c:strRef>
          </c:tx>
          <c:spPr>
            <a:solidFill>
              <a:schemeClr val="accent1">
                <a:lumMod val="75000"/>
              </a:schemeClr>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cat>
            <c:strRef>
              <c:f>'Traffic Data 5 yr'!$C$49:$I$49</c:f>
              <c:strCache>
                <c:ptCount val="7"/>
                <c:pt idx="0">
                  <c:v>5Yr Avg.</c:v>
                </c:pt>
                <c:pt idx="1">
                  <c:v>2011</c:v>
                </c:pt>
                <c:pt idx="2">
                  <c:v>2012</c:v>
                </c:pt>
                <c:pt idx="3">
                  <c:v>2013</c:v>
                </c:pt>
                <c:pt idx="4">
                  <c:v>2014</c:v>
                </c:pt>
                <c:pt idx="5">
                  <c:v>2015</c:v>
                </c:pt>
                <c:pt idx="6">
                  <c:v>2016</c:v>
                </c:pt>
              </c:strCache>
            </c:strRef>
          </c:cat>
          <c:val>
            <c:numRef>
              <c:f>'Traffic Data 5 yr'!$C$62:$I$62</c:f>
              <c:numCache>
                <c:formatCode>General</c:formatCode>
                <c:ptCount val="7"/>
                <c:pt idx="0" formatCode="0">
                  <c:v>8</c:v>
                </c:pt>
                <c:pt idx="1">
                  <c:v>20</c:v>
                </c:pt>
                <c:pt idx="2">
                  <c:v>3</c:v>
                </c:pt>
                <c:pt idx="3">
                  <c:v>4</c:v>
                </c:pt>
                <c:pt idx="4">
                  <c:v>5</c:v>
                </c:pt>
                <c:pt idx="5">
                  <c:v>8</c:v>
                </c:pt>
                <c:pt idx="6">
                  <c:v>8</c:v>
                </c:pt>
              </c:numCache>
            </c:numRef>
          </c:val>
        </c:ser>
        <c:dLbls>
          <c:showLegendKey val="0"/>
          <c:showVal val="1"/>
          <c:showCatName val="0"/>
          <c:showSerName val="0"/>
          <c:showPercent val="0"/>
          <c:showBubbleSize val="0"/>
        </c:dLbls>
        <c:gapWidth val="150"/>
        <c:shape val="box"/>
        <c:axId val="736721408"/>
        <c:axId val="737404032"/>
        <c:axId val="0"/>
      </c:bar3DChart>
      <c:catAx>
        <c:axId val="736721408"/>
        <c:scaling>
          <c:orientation val="minMax"/>
        </c:scaling>
        <c:delete val="0"/>
        <c:axPos val="b"/>
        <c:numFmt formatCode="General" sourceLinked="1"/>
        <c:majorTickMark val="none"/>
        <c:minorTickMark val="none"/>
        <c:tickLblPos val="nextTo"/>
        <c:txPr>
          <a:bodyPr/>
          <a:lstStyle/>
          <a:p>
            <a:pPr>
              <a:defRPr b="1"/>
            </a:pPr>
            <a:endParaRPr lang="en-US"/>
          </a:p>
        </c:txPr>
        <c:crossAx val="737404032"/>
        <c:crosses val="autoZero"/>
        <c:auto val="1"/>
        <c:lblAlgn val="ctr"/>
        <c:lblOffset val="100"/>
        <c:noMultiLvlLbl val="0"/>
      </c:catAx>
      <c:valAx>
        <c:axId val="737404032"/>
        <c:scaling>
          <c:orientation val="minMax"/>
        </c:scaling>
        <c:delete val="0"/>
        <c:axPos val="l"/>
        <c:majorGridlines/>
        <c:numFmt formatCode="0" sourceLinked="1"/>
        <c:majorTickMark val="none"/>
        <c:minorTickMark val="none"/>
        <c:tickLblPos val="nextTo"/>
        <c:txPr>
          <a:bodyPr/>
          <a:lstStyle/>
          <a:p>
            <a:pPr>
              <a:defRPr b="1"/>
            </a:pPr>
            <a:endParaRPr lang="en-US"/>
          </a:p>
        </c:txPr>
        <c:crossAx val="736721408"/>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 Citations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'Traffic Data 5 yr'!$B$90:$I$90</c:f>
              <c:strCache>
                <c:ptCount val="1"/>
                <c:pt idx="0">
                  <c:v>Citations</c:v>
                </c:pt>
              </c:strCache>
            </c:strRef>
          </c:tx>
          <c:spPr>
            <a:solidFill>
              <a:schemeClr val="accent1">
                <a:lumMod val="75000"/>
              </a:schemeClr>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cat>
            <c:strRef>
              <c:f>'Traffic Data 5 yr'!$C$91:$I$91</c:f>
              <c:strCache>
                <c:ptCount val="7"/>
                <c:pt idx="0">
                  <c:v>5Yr Avg.</c:v>
                </c:pt>
                <c:pt idx="1">
                  <c:v>2011</c:v>
                </c:pt>
                <c:pt idx="2">
                  <c:v>2012</c:v>
                </c:pt>
                <c:pt idx="3">
                  <c:v>2013</c:v>
                </c:pt>
                <c:pt idx="4">
                  <c:v>2014</c:v>
                </c:pt>
                <c:pt idx="5">
                  <c:v>2015</c:v>
                </c:pt>
                <c:pt idx="6">
                  <c:v>2016</c:v>
                </c:pt>
              </c:strCache>
            </c:strRef>
          </c:cat>
          <c:val>
            <c:numRef>
              <c:f>'Traffic Data 5 yr'!$C$104:$I$104</c:f>
              <c:numCache>
                <c:formatCode>General</c:formatCode>
                <c:ptCount val="7"/>
                <c:pt idx="0" formatCode="0">
                  <c:v>25203</c:v>
                </c:pt>
                <c:pt idx="1">
                  <c:v>28615</c:v>
                </c:pt>
                <c:pt idx="2">
                  <c:v>23545</c:v>
                </c:pt>
                <c:pt idx="3">
                  <c:v>20369</c:v>
                </c:pt>
                <c:pt idx="4">
                  <c:v>29001</c:v>
                </c:pt>
                <c:pt idx="5">
                  <c:v>24485</c:v>
                </c:pt>
                <c:pt idx="6">
                  <c:v>24649</c:v>
                </c:pt>
              </c:numCache>
            </c:numRef>
          </c:val>
        </c:ser>
        <c:dLbls>
          <c:showLegendKey val="0"/>
          <c:showVal val="1"/>
          <c:showCatName val="0"/>
          <c:showSerName val="0"/>
          <c:showPercent val="0"/>
          <c:showBubbleSize val="0"/>
        </c:dLbls>
        <c:gapWidth val="150"/>
        <c:shape val="box"/>
        <c:axId val="736722432"/>
        <c:axId val="737405760"/>
        <c:axId val="0"/>
      </c:bar3DChart>
      <c:catAx>
        <c:axId val="736722432"/>
        <c:scaling>
          <c:orientation val="minMax"/>
        </c:scaling>
        <c:delete val="0"/>
        <c:axPos val="b"/>
        <c:numFmt formatCode="0" sourceLinked="1"/>
        <c:majorTickMark val="none"/>
        <c:minorTickMark val="none"/>
        <c:tickLblPos val="nextTo"/>
        <c:txPr>
          <a:bodyPr/>
          <a:lstStyle/>
          <a:p>
            <a:pPr>
              <a:defRPr b="1"/>
            </a:pPr>
            <a:endParaRPr lang="en-US"/>
          </a:p>
        </c:txPr>
        <c:crossAx val="737405760"/>
        <c:crosses val="autoZero"/>
        <c:auto val="1"/>
        <c:lblAlgn val="ctr"/>
        <c:lblOffset val="100"/>
        <c:noMultiLvlLbl val="0"/>
      </c:catAx>
      <c:valAx>
        <c:axId val="737405760"/>
        <c:scaling>
          <c:orientation val="minMax"/>
        </c:scaling>
        <c:delete val="0"/>
        <c:axPos val="l"/>
        <c:majorGridlines/>
        <c:numFmt formatCode="0" sourceLinked="1"/>
        <c:majorTickMark val="none"/>
        <c:minorTickMark val="none"/>
        <c:tickLblPos val="nextTo"/>
        <c:txPr>
          <a:bodyPr/>
          <a:lstStyle/>
          <a:p>
            <a:pPr>
              <a:defRPr b="1"/>
            </a:pPr>
            <a:endParaRPr lang="en-US"/>
          </a:p>
        </c:txPr>
        <c:crossAx val="736722432"/>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DUI Arrests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manualLayout>
          <c:layoutTarget val="inner"/>
          <c:xMode val="edge"/>
          <c:yMode val="edge"/>
          <c:x val="0.11332169252901966"/>
          <c:y val="0.16951615238278642"/>
          <c:w val="0.84270603674542477"/>
          <c:h val="0.66301276747186266"/>
        </c:manualLayout>
      </c:layout>
      <c:bar3DChart>
        <c:barDir val="col"/>
        <c:grouping val="clustered"/>
        <c:varyColors val="0"/>
        <c:ser>
          <c:idx val="0"/>
          <c:order val="0"/>
          <c:tx>
            <c:strRef>
              <c:f>'Traffic Data 5 yr'!$B$111:$I$111</c:f>
              <c:strCache>
                <c:ptCount val="1"/>
                <c:pt idx="0">
                  <c:v>DUI Arrests</c:v>
                </c:pt>
              </c:strCache>
            </c:strRef>
          </c:tx>
          <c:spPr>
            <a:solidFill>
              <a:schemeClr val="accent1">
                <a:lumMod val="75000"/>
              </a:schemeClr>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dLbls>
            <c:txPr>
              <a:bodyPr/>
              <a:lstStyle/>
              <a:p>
                <a:pPr>
                  <a:defRPr b="1"/>
                </a:pPr>
                <a:endParaRPr lang="en-US"/>
              </a:p>
            </c:txPr>
            <c:showLegendKey val="0"/>
            <c:showVal val="1"/>
            <c:showCatName val="0"/>
            <c:showSerName val="0"/>
            <c:showPercent val="0"/>
            <c:showBubbleSize val="0"/>
            <c:showLeaderLines val="0"/>
          </c:dLbls>
          <c:cat>
            <c:strRef>
              <c:f>'Traffic Data 5 yr'!$C$112:$I$112</c:f>
              <c:strCache>
                <c:ptCount val="7"/>
                <c:pt idx="0">
                  <c:v>5 Yr Avg.</c:v>
                </c:pt>
                <c:pt idx="1">
                  <c:v>2011</c:v>
                </c:pt>
                <c:pt idx="2">
                  <c:v>2012</c:v>
                </c:pt>
                <c:pt idx="3">
                  <c:v>2013</c:v>
                </c:pt>
                <c:pt idx="4">
                  <c:v>2014</c:v>
                </c:pt>
                <c:pt idx="5">
                  <c:v>2015</c:v>
                </c:pt>
                <c:pt idx="6">
                  <c:v>2016</c:v>
                </c:pt>
              </c:strCache>
            </c:strRef>
          </c:cat>
          <c:val>
            <c:numRef>
              <c:f>'Traffic Data 5 yr'!$C$125:$I$125</c:f>
              <c:numCache>
                <c:formatCode>General</c:formatCode>
                <c:ptCount val="7"/>
                <c:pt idx="0" formatCode="0">
                  <c:v>889.2</c:v>
                </c:pt>
                <c:pt idx="1">
                  <c:v>1277</c:v>
                </c:pt>
                <c:pt idx="2">
                  <c:v>981</c:v>
                </c:pt>
                <c:pt idx="3">
                  <c:v>822</c:v>
                </c:pt>
                <c:pt idx="4">
                  <c:v>692</c:v>
                </c:pt>
                <c:pt idx="5">
                  <c:v>674</c:v>
                </c:pt>
                <c:pt idx="6">
                  <c:v>667</c:v>
                </c:pt>
              </c:numCache>
            </c:numRef>
          </c:val>
        </c:ser>
        <c:dLbls>
          <c:showLegendKey val="0"/>
          <c:showVal val="0"/>
          <c:showCatName val="0"/>
          <c:showSerName val="0"/>
          <c:showPercent val="0"/>
          <c:showBubbleSize val="0"/>
        </c:dLbls>
        <c:gapWidth val="150"/>
        <c:shape val="box"/>
        <c:axId val="804384256"/>
        <c:axId val="737407488"/>
        <c:axId val="0"/>
      </c:bar3DChart>
      <c:catAx>
        <c:axId val="804384256"/>
        <c:scaling>
          <c:orientation val="minMax"/>
        </c:scaling>
        <c:delete val="0"/>
        <c:axPos val="b"/>
        <c:numFmt formatCode="0" sourceLinked="1"/>
        <c:majorTickMark val="out"/>
        <c:minorTickMark val="none"/>
        <c:tickLblPos val="nextTo"/>
        <c:txPr>
          <a:bodyPr/>
          <a:lstStyle/>
          <a:p>
            <a:pPr>
              <a:defRPr b="1"/>
            </a:pPr>
            <a:endParaRPr lang="en-US"/>
          </a:p>
        </c:txPr>
        <c:crossAx val="737407488"/>
        <c:crosses val="autoZero"/>
        <c:auto val="1"/>
        <c:lblAlgn val="ctr"/>
        <c:lblOffset val="100"/>
        <c:noMultiLvlLbl val="0"/>
      </c:catAx>
      <c:valAx>
        <c:axId val="737407488"/>
        <c:scaling>
          <c:orientation val="minMax"/>
        </c:scaling>
        <c:delete val="0"/>
        <c:axPos val="l"/>
        <c:majorGridlines/>
        <c:numFmt formatCode="0" sourceLinked="1"/>
        <c:majorTickMark val="out"/>
        <c:minorTickMark val="none"/>
        <c:tickLblPos val="nextTo"/>
        <c:txPr>
          <a:bodyPr/>
          <a:lstStyle/>
          <a:p>
            <a:pPr>
              <a:defRPr b="1"/>
            </a:pPr>
            <a:endParaRPr lang="en-US"/>
          </a:p>
        </c:txPr>
        <c:crossAx val="804384256"/>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n-US"/>
              <a:t>24-month Total</a:t>
            </a:r>
            <a:r>
              <a:rPr lang="en-US" baseline="0"/>
              <a:t> </a:t>
            </a:r>
            <a:r>
              <a:rPr lang="en-US"/>
              <a:t>Violent Crimes </a:t>
            </a:r>
          </a:p>
        </c:rich>
      </c:tx>
      <c:overlay val="1"/>
    </c:title>
    <c:autoTitleDeleted val="0"/>
    <c:plotArea>
      <c:layout>
        <c:manualLayout>
          <c:layoutTarget val="inner"/>
          <c:xMode val="edge"/>
          <c:yMode val="edge"/>
          <c:x val="4.541326088191272E-2"/>
          <c:y val="0.15486726360793177"/>
          <c:w val="0.93642143938501265"/>
          <c:h val="0.58628321223000568"/>
        </c:manualLayout>
      </c:layout>
      <c:lineChart>
        <c:grouping val="standard"/>
        <c:varyColors val="0"/>
        <c:ser>
          <c:idx val="0"/>
          <c:order val="0"/>
          <c:tx>
            <c:v>Violent Crimes</c:v>
          </c:tx>
          <c:trendline>
            <c:trendlineType val="linear"/>
            <c:dispRSqr val="0"/>
            <c:dispEq val="0"/>
          </c:trendline>
          <c:cat>
            <c:strRef>
              <c:f>'5 year'!$Y$15:$Y$38</c:f>
              <c:strCache>
                <c:ptCount val="24"/>
                <c:pt idx="0">
                  <c:v>January-15</c:v>
                </c:pt>
                <c:pt idx="1">
                  <c:v>February</c:v>
                </c:pt>
                <c:pt idx="2">
                  <c:v>March</c:v>
                </c:pt>
                <c:pt idx="3">
                  <c:v>April</c:v>
                </c:pt>
                <c:pt idx="4">
                  <c:v>May</c:v>
                </c:pt>
                <c:pt idx="5">
                  <c:v>June</c:v>
                </c:pt>
                <c:pt idx="6">
                  <c:v>July-15</c:v>
                </c:pt>
                <c:pt idx="7">
                  <c:v>August</c:v>
                </c:pt>
                <c:pt idx="8">
                  <c:v>September</c:v>
                </c:pt>
                <c:pt idx="9">
                  <c:v>October</c:v>
                </c:pt>
                <c:pt idx="10">
                  <c:v>November</c:v>
                </c:pt>
                <c:pt idx="11">
                  <c:v>December</c:v>
                </c:pt>
                <c:pt idx="12">
                  <c:v>January-16</c:v>
                </c:pt>
                <c:pt idx="13">
                  <c:v>February</c:v>
                </c:pt>
                <c:pt idx="14">
                  <c:v>March</c:v>
                </c:pt>
                <c:pt idx="15">
                  <c:v>April</c:v>
                </c:pt>
                <c:pt idx="16">
                  <c:v>May</c:v>
                </c:pt>
                <c:pt idx="17">
                  <c:v>June</c:v>
                </c:pt>
                <c:pt idx="18">
                  <c:v>July-16</c:v>
                </c:pt>
                <c:pt idx="19">
                  <c:v>August</c:v>
                </c:pt>
                <c:pt idx="20">
                  <c:v>September</c:v>
                </c:pt>
                <c:pt idx="21">
                  <c:v>October</c:v>
                </c:pt>
                <c:pt idx="22">
                  <c:v>November</c:v>
                </c:pt>
                <c:pt idx="23">
                  <c:v>December</c:v>
                </c:pt>
              </c:strCache>
            </c:strRef>
          </c:cat>
          <c:val>
            <c:numRef>
              <c:f>('5 year'!$H$104,'5 year'!$H$105,'5 year'!$H$106,'5 year'!$H$107,'5 year'!$H$108,'5 year'!$H$109,'5 year'!$H$110,'5 year'!$H$111,'5 year'!$H$112,'5 year'!$H$113,'5 year'!$H$114,'5 year'!$H$115,'5 year'!$I$104,'5 year'!$I$105,'5 year'!$I$106,'5 year'!$I$107,'5 year'!$I$108,'5 year'!$I$109,'5 year'!$I$110,'5 year'!$I$111,'5 year'!$I$112,'5 year'!$I$113,'5 year'!$I$114,'5 year'!$I$115)</c:f>
              <c:numCache>
                <c:formatCode>General</c:formatCode>
                <c:ptCount val="24"/>
                <c:pt idx="0">
                  <c:v>24</c:v>
                </c:pt>
                <c:pt idx="1">
                  <c:v>17</c:v>
                </c:pt>
                <c:pt idx="2">
                  <c:v>12</c:v>
                </c:pt>
                <c:pt idx="3">
                  <c:v>20</c:v>
                </c:pt>
                <c:pt idx="4">
                  <c:v>17</c:v>
                </c:pt>
                <c:pt idx="5">
                  <c:v>9</c:v>
                </c:pt>
                <c:pt idx="6">
                  <c:v>24</c:v>
                </c:pt>
                <c:pt idx="7">
                  <c:v>20</c:v>
                </c:pt>
                <c:pt idx="8">
                  <c:v>14</c:v>
                </c:pt>
                <c:pt idx="9">
                  <c:v>17</c:v>
                </c:pt>
                <c:pt idx="10">
                  <c:v>10</c:v>
                </c:pt>
                <c:pt idx="11">
                  <c:v>15</c:v>
                </c:pt>
                <c:pt idx="12">
                  <c:v>22</c:v>
                </c:pt>
                <c:pt idx="13">
                  <c:v>8</c:v>
                </c:pt>
                <c:pt idx="14">
                  <c:v>30</c:v>
                </c:pt>
                <c:pt idx="15">
                  <c:v>20</c:v>
                </c:pt>
                <c:pt idx="16">
                  <c:v>22</c:v>
                </c:pt>
                <c:pt idx="17">
                  <c:v>22</c:v>
                </c:pt>
                <c:pt idx="18">
                  <c:v>17</c:v>
                </c:pt>
                <c:pt idx="19">
                  <c:v>19</c:v>
                </c:pt>
                <c:pt idx="20">
                  <c:v>10</c:v>
                </c:pt>
                <c:pt idx="21">
                  <c:v>10</c:v>
                </c:pt>
                <c:pt idx="22">
                  <c:v>23</c:v>
                </c:pt>
                <c:pt idx="23">
                  <c:v>19</c:v>
                </c:pt>
              </c:numCache>
            </c:numRef>
          </c:val>
          <c:smooth val="0"/>
        </c:ser>
        <c:dLbls>
          <c:showLegendKey val="0"/>
          <c:showVal val="0"/>
          <c:showCatName val="0"/>
          <c:showSerName val="0"/>
          <c:showPercent val="0"/>
          <c:showBubbleSize val="0"/>
        </c:dLbls>
        <c:marker val="1"/>
        <c:smooth val="0"/>
        <c:axId val="121570816"/>
        <c:axId val="40076992"/>
      </c:lineChart>
      <c:catAx>
        <c:axId val="121570816"/>
        <c:scaling>
          <c:orientation val="minMax"/>
        </c:scaling>
        <c:delete val="0"/>
        <c:axPos val="b"/>
        <c:numFmt formatCode="[$-409]mmmm\-yy;@" sourceLinked="0"/>
        <c:majorTickMark val="out"/>
        <c:minorTickMark val="none"/>
        <c:tickLblPos val="nextTo"/>
        <c:crossAx val="40076992"/>
        <c:crosses val="autoZero"/>
        <c:auto val="1"/>
        <c:lblAlgn val="ctr"/>
        <c:lblOffset val="100"/>
        <c:noMultiLvlLbl val="0"/>
      </c:catAx>
      <c:valAx>
        <c:axId val="40076992"/>
        <c:scaling>
          <c:orientation val="minMax"/>
        </c:scaling>
        <c:delete val="0"/>
        <c:axPos val="l"/>
        <c:majorGridlines/>
        <c:numFmt formatCode="General" sourceLinked="1"/>
        <c:majorTickMark val="out"/>
        <c:minorTickMark val="none"/>
        <c:tickLblPos val="nextTo"/>
        <c:crossAx val="121570816"/>
        <c:crosses val="autoZero"/>
        <c:crossBetween val="between"/>
      </c:valAx>
      <c:spPr>
        <a:solidFill>
          <a:schemeClr val="bg2"/>
        </a:solidFill>
      </c:spPr>
    </c:plotArea>
    <c:plotVisOnly val="1"/>
    <c:dispBlanksAs val="gap"/>
    <c:showDLblsOverMax val="0"/>
  </c:chart>
  <c:spPr>
    <a:solidFill>
      <a:schemeClr val="bg2">
        <a:lumMod val="75000"/>
      </a:schemeClr>
    </a:solidFill>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Alcohol related crashes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manualLayout>
          <c:layoutTarget val="inner"/>
          <c:xMode val="edge"/>
          <c:yMode val="edge"/>
          <c:x val="0.11332169252901966"/>
          <c:y val="0.16951615238278644"/>
          <c:w val="0.84270603674542499"/>
          <c:h val="0.66301276747186266"/>
        </c:manualLayout>
      </c:layout>
      <c:bar3DChart>
        <c:barDir val="col"/>
        <c:grouping val="clustered"/>
        <c:varyColors val="0"/>
        <c:ser>
          <c:idx val="0"/>
          <c:order val="0"/>
          <c:tx>
            <c:strRef>
              <c:f>'Traffic Data 5 yr'!$B$138:$I$138</c:f>
              <c:strCache>
                <c:ptCount val="1"/>
                <c:pt idx="0">
                  <c:v>Alcohol related crashes</c:v>
                </c:pt>
              </c:strCache>
            </c:strRef>
          </c:tx>
          <c:spPr>
            <a:solidFill>
              <a:schemeClr val="accent1">
                <a:lumMod val="75000"/>
              </a:schemeClr>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dLbls>
            <c:txPr>
              <a:bodyPr/>
              <a:lstStyle/>
              <a:p>
                <a:pPr>
                  <a:defRPr b="1"/>
                </a:pPr>
                <a:endParaRPr lang="en-US"/>
              </a:p>
            </c:txPr>
            <c:showLegendKey val="0"/>
            <c:showVal val="1"/>
            <c:showCatName val="0"/>
            <c:showSerName val="0"/>
            <c:showPercent val="0"/>
            <c:showBubbleSize val="0"/>
            <c:showLeaderLines val="0"/>
          </c:dLbls>
          <c:cat>
            <c:strRef>
              <c:f>'Traffic Data 5 yr'!$C$139:$I$139</c:f>
              <c:strCache>
                <c:ptCount val="7"/>
                <c:pt idx="0">
                  <c:v>5Yr Avg.</c:v>
                </c:pt>
                <c:pt idx="1">
                  <c:v>2011</c:v>
                </c:pt>
                <c:pt idx="2">
                  <c:v>2012</c:v>
                </c:pt>
                <c:pt idx="3">
                  <c:v>2013</c:v>
                </c:pt>
                <c:pt idx="4">
                  <c:v>2014</c:v>
                </c:pt>
                <c:pt idx="5">
                  <c:v>2015</c:v>
                </c:pt>
                <c:pt idx="6">
                  <c:v>2016</c:v>
                </c:pt>
              </c:strCache>
            </c:strRef>
          </c:cat>
          <c:val>
            <c:numRef>
              <c:f>'Traffic Data 5 yr'!$C$152:$I$152</c:f>
              <c:numCache>
                <c:formatCode>General</c:formatCode>
                <c:ptCount val="7"/>
                <c:pt idx="0" formatCode="0">
                  <c:v>116.4</c:v>
                </c:pt>
                <c:pt idx="1">
                  <c:v>130</c:v>
                </c:pt>
                <c:pt idx="2">
                  <c:v>123</c:v>
                </c:pt>
                <c:pt idx="3">
                  <c:v>135</c:v>
                </c:pt>
                <c:pt idx="4">
                  <c:v>92</c:v>
                </c:pt>
                <c:pt idx="5">
                  <c:v>102</c:v>
                </c:pt>
                <c:pt idx="6">
                  <c:v>69</c:v>
                </c:pt>
              </c:numCache>
            </c:numRef>
          </c:val>
        </c:ser>
        <c:dLbls>
          <c:showLegendKey val="0"/>
          <c:showVal val="0"/>
          <c:showCatName val="0"/>
          <c:showSerName val="0"/>
          <c:showPercent val="0"/>
          <c:showBubbleSize val="0"/>
        </c:dLbls>
        <c:gapWidth val="150"/>
        <c:shape val="box"/>
        <c:axId val="648047104"/>
        <c:axId val="737409216"/>
        <c:axId val="0"/>
      </c:bar3DChart>
      <c:catAx>
        <c:axId val="648047104"/>
        <c:scaling>
          <c:orientation val="minMax"/>
        </c:scaling>
        <c:delete val="0"/>
        <c:axPos val="b"/>
        <c:numFmt formatCode="0" sourceLinked="1"/>
        <c:majorTickMark val="out"/>
        <c:minorTickMark val="none"/>
        <c:tickLblPos val="nextTo"/>
        <c:txPr>
          <a:bodyPr/>
          <a:lstStyle/>
          <a:p>
            <a:pPr>
              <a:defRPr b="1"/>
            </a:pPr>
            <a:endParaRPr lang="en-US"/>
          </a:p>
        </c:txPr>
        <c:crossAx val="737409216"/>
        <c:crosses val="autoZero"/>
        <c:auto val="1"/>
        <c:lblAlgn val="ctr"/>
        <c:lblOffset val="100"/>
        <c:noMultiLvlLbl val="0"/>
      </c:catAx>
      <c:valAx>
        <c:axId val="737409216"/>
        <c:scaling>
          <c:orientation val="minMax"/>
        </c:scaling>
        <c:delete val="0"/>
        <c:axPos val="l"/>
        <c:majorGridlines/>
        <c:numFmt formatCode="0" sourceLinked="1"/>
        <c:majorTickMark val="out"/>
        <c:minorTickMark val="none"/>
        <c:tickLblPos val="nextTo"/>
        <c:txPr>
          <a:bodyPr/>
          <a:lstStyle/>
          <a:p>
            <a:pPr>
              <a:defRPr b="1"/>
            </a:pPr>
            <a:endParaRPr lang="en-US"/>
          </a:p>
        </c:txPr>
        <c:crossAx val="648047104"/>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Violent Crimes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'10 year '!$B$102:$N$102</c:f>
              <c:strCache>
                <c:ptCount val="1"/>
                <c:pt idx="0">
                  <c:v>Violent Crimes</c:v>
                </c:pt>
              </c:strCache>
            </c:strRef>
          </c:tx>
          <c:spPr>
            <a:solidFill>
              <a:srgbClr val="2F14F8"/>
            </a:solidFill>
          </c:spPr>
          <c:invertIfNegative val="0"/>
          <c:dPt>
            <c:idx val="0"/>
            <c:invertIfNegative val="0"/>
            <c:bubble3D val="0"/>
            <c:spPr>
              <a:solidFill>
                <a:schemeClr val="tx1"/>
              </a:solidFill>
            </c:spPr>
          </c:dPt>
          <c:dPt>
            <c:idx val="11"/>
            <c:invertIfNegative val="0"/>
            <c:bubble3D val="0"/>
            <c:spPr>
              <a:solidFill>
                <a:srgbClr val="FF0000"/>
              </a:solidFill>
            </c:spPr>
          </c:dPt>
          <c:dLbls>
            <c:showLegendKey val="0"/>
            <c:showVal val="1"/>
            <c:showCatName val="0"/>
            <c:showSerName val="0"/>
            <c:showPercent val="0"/>
            <c:showBubbleSize val="0"/>
            <c:showLeaderLines val="0"/>
          </c:dLbls>
          <c:cat>
            <c:strRef>
              <c:f>('10 year '!$C$103,'10 year '!$F$103:$P$103)</c:f>
              <c:strCache>
                <c:ptCount val="12"/>
                <c:pt idx="0">
                  <c:v>10Yr Avg.</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('10 year '!$C$116,'10 year '!$F$116:$P$116)</c:f>
              <c:numCache>
                <c:formatCode>0</c:formatCode>
                <c:ptCount val="12"/>
                <c:pt idx="0">
                  <c:v>203.6</c:v>
                </c:pt>
                <c:pt idx="1">
                  <c:v>275</c:v>
                </c:pt>
                <c:pt idx="2">
                  <c:v>317</c:v>
                </c:pt>
                <c:pt idx="3">
                  <c:v>222</c:v>
                </c:pt>
                <c:pt idx="4">
                  <c:v>151</c:v>
                </c:pt>
                <c:pt idx="5">
                  <c:v>162</c:v>
                </c:pt>
                <c:pt idx="6">
                  <c:v>195</c:v>
                </c:pt>
                <c:pt idx="7">
                  <c:v>153</c:v>
                </c:pt>
                <c:pt idx="8">
                  <c:v>182</c:v>
                </c:pt>
                <c:pt idx="9">
                  <c:v>180</c:v>
                </c:pt>
                <c:pt idx="10">
                  <c:v>199</c:v>
                </c:pt>
                <c:pt idx="11" formatCode="General">
                  <c:v>222</c:v>
                </c:pt>
              </c:numCache>
            </c:numRef>
          </c:val>
        </c:ser>
        <c:dLbls>
          <c:showLegendKey val="0"/>
          <c:showVal val="0"/>
          <c:showCatName val="0"/>
          <c:showSerName val="0"/>
          <c:showPercent val="0"/>
          <c:showBubbleSize val="0"/>
        </c:dLbls>
        <c:gapWidth val="150"/>
        <c:shape val="box"/>
        <c:axId val="811627008"/>
        <c:axId val="811016192"/>
        <c:axId val="0"/>
      </c:bar3DChart>
      <c:catAx>
        <c:axId val="811627008"/>
        <c:scaling>
          <c:orientation val="minMax"/>
        </c:scaling>
        <c:delete val="0"/>
        <c:axPos val="b"/>
        <c:numFmt formatCode="General" sourceLinked="1"/>
        <c:majorTickMark val="out"/>
        <c:minorTickMark val="none"/>
        <c:tickLblPos val="nextTo"/>
        <c:txPr>
          <a:bodyPr/>
          <a:lstStyle/>
          <a:p>
            <a:pPr>
              <a:defRPr b="1"/>
            </a:pPr>
            <a:endParaRPr lang="en-US"/>
          </a:p>
        </c:txPr>
        <c:crossAx val="811016192"/>
        <c:crosses val="autoZero"/>
        <c:auto val="1"/>
        <c:lblAlgn val="ctr"/>
        <c:lblOffset val="100"/>
        <c:noMultiLvlLbl val="0"/>
      </c:catAx>
      <c:valAx>
        <c:axId val="811016192"/>
        <c:scaling>
          <c:orientation val="minMax"/>
        </c:scaling>
        <c:delete val="0"/>
        <c:axPos val="l"/>
        <c:majorGridlines/>
        <c:numFmt formatCode="0" sourceLinked="1"/>
        <c:majorTickMark val="out"/>
        <c:minorTickMark val="none"/>
        <c:tickLblPos val="nextTo"/>
        <c:spPr>
          <a:noFill/>
        </c:spPr>
        <c:txPr>
          <a:bodyPr/>
          <a:lstStyle/>
          <a:p>
            <a:pPr>
              <a:defRPr b="1"/>
            </a:pPr>
            <a:endParaRPr lang="en-US"/>
          </a:p>
        </c:txPr>
        <c:crossAx val="811627008"/>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Homicide</a:t>
            </a:r>
          </a:p>
        </c:rich>
      </c:tx>
      <c:layout>
        <c:manualLayout>
          <c:xMode val="edge"/>
          <c:yMode val="edge"/>
          <c:x val="0.38659714832943182"/>
          <c:y val="2.3598888374247333E-2"/>
        </c:manualLayout>
      </c:layout>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'10 year '!$B$3:$N$3</c:f>
              <c:strCache>
                <c:ptCount val="1"/>
                <c:pt idx="0">
                  <c:v>Homicide</c:v>
                </c:pt>
              </c:strCache>
            </c:strRef>
          </c:tx>
          <c:spPr>
            <a:solidFill>
              <a:srgbClr val="2F14F8"/>
            </a:solidFill>
          </c:spPr>
          <c:invertIfNegative val="0"/>
          <c:dPt>
            <c:idx val="0"/>
            <c:invertIfNegative val="0"/>
            <c:bubble3D val="0"/>
            <c:spPr>
              <a:solidFill>
                <a:schemeClr val="tx1"/>
              </a:solidFill>
            </c:spPr>
          </c:dPt>
          <c:dPt>
            <c:idx val="11"/>
            <c:invertIfNegative val="0"/>
            <c:bubble3D val="0"/>
            <c:spPr>
              <a:solidFill>
                <a:srgbClr val="FF0000"/>
              </a:solidFill>
            </c:spPr>
          </c:dPt>
          <c:dLbls>
            <c:showLegendKey val="0"/>
            <c:showVal val="1"/>
            <c:showCatName val="0"/>
            <c:showSerName val="0"/>
            <c:showPercent val="0"/>
            <c:showBubbleSize val="0"/>
            <c:showLeaderLines val="0"/>
          </c:dLbls>
          <c:cat>
            <c:strRef>
              <c:f>('10 year '!$C$4,'10 year '!$F$4:$P$4)</c:f>
              <c:strCache>
                <c:ptCount val="12"/>
                <c:pt idx="0">
                  <c:v>10Yr Avg.</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('10 year '!$C$17,'10 year '!$F$17:$P$17)</c:f>
              <c:numCache>
                <c:formatCode>0</c:formatCode>
                <c:ptCount val="12"/>
                <c:pt idx="0">
                  <c:v>7.5</c:v>
                </c:pt>
                <c:pt idx="1">
                  <c:v>12</c:v>
                </c:pt>
                <c:pt idx="2">
                  <c:v>4</c:v>
                </c:pt>
                <c:pt idx="3">
                  <c:v>9</c:v>
                </c:pt>
                <c:pt idx="4">
                  <c:v>6</c:v>
                </c:pt>
                <c:pt idx="5">
                  <c:v>6</c:v>
                </c:pt>
                <c:pt idx="6">
                  <c:v>17</c:v>
                </c:pt>
                <c:pt idx="7">
                  <c:v>3</c:v>
                </c:pt>
                <c:pt idx="8">
                  <c:v>3</c:v>
                </c:pt>
                <c:pt idx="9">
                  <c:v>7</c:v>
                </c:pt>
                <c:pt idx="10">
                  <c:v>8</c:v>
                </c:pt>
                <c:pt idx="11">
                  <c:v>10</c:v>
                </c:pt>
              </c:numCache>
            </c:numRef>
          </c:val>
        </c:ser>
        <c:dLbls>
          <c:showLegendKey val="0"/>
          <c:showVal val="0"/>
          <c:showCatName val="0"/>
          <c:showSerName val="0"/>
          <c:showPercent val="0"/>
          <c:showBubbleSize val="0"/>
        </c:dLbls>
        <c:gapWidth val="150"/>
        <c:shape val="box"/>
        <c:axId val="811627520"/>
        <c:axId val="811017920"/>
        <c:axId val="0"/>
      </c:bar3DChart>
      <c:catAx>
        <c:axId val="811627520"/>
        <c:scaling>
          <c:orientation val="minMax"/>
        </c:scaling>
        <c:delete val="0"/>
        <c:axPos val="b"/>
        <c:numFmt formatCode="General" sourceLinked="1"/>
        <c:majorTickMark val="out"/>
        <c:minorTickMark val="none"/>
        <c:tickLblPos val="nextTo"/>
        <c:txPr>
          <a:bodyPr/>
          <a:lstStyle/>
          <a:p>
            <a:pPr>
              <a:defRPr b="1"/>
            </a:pPr>
            <a:endParaRPr lang="en-US"/>
          </a:p>
        </c:txPr>
        <c:crossAx val="811017920"/>
        <c:crosses val="autoZero"/>
        <c:auto val="1"/>
        <c:lblAlgn val="ctr"/>
        <c:lblOffset val="100"/>
        <c:noMultiLvlLbl val="0"/>
      </c:catAx>
      <c:valAx>
        <c:axId val="811017920"/>
        <c:scaling>
          <c:orientation val="minMax"/>
        </c:scaling>
        <c:delete val="0"/>
        <c:axPos val="l"/>
        <c:majorGridlines/>
        <c:numFmt formatCode="0" sourceLinked="1"/>
        <c:majorTickMark val="out"/>
        <c:minorTickMark val="none"/>
        <c:tickLblPos val="nextTo"/>
        <c:txPr>
          <a:bodyPr/>
          <a:lstStyle/>
          <a:p>
            <a:pPr>
              <a:defRPr b="1"/>
            </a:pPr>
            <a:endParaRPr lang="en-US"/>
          </a:p>
        </c:txPr>
        <c:crossAx val="811627520"/>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Forcible Rape</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'10 year '!$B$29:$N$29</c:f>
              <c:strCache>
                <c:ptCount val="1"/>
                <c:pt idx="0">
                  <c:v>Forcible Rape</c:v>
                </c:pt>
              </c:strCache>
            </c:strRef>
          </c:tx>
          <c:spPr>
            <a:solidFill>
              <a:srgbClr val="3333FF"/>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2F14F8"/>
              </a:solidFill>
            </c:spPr>
          </c:dPt>
          <c:dPt>
            <c:idx val="11"/>
            <c:invertIfNegative val="0"/>
            <c:bubble3D val="0"/>
            <c:spPr>
              <a:solidFill>
                <a:srgbClr val="FF0000"/>
              </a:solidFill>
            </c:spPr>
          </c:dPt>
          <c:dLbls>
            <c:showLegendKey val="0"/>
            <c:showVal val="1"/>
            <c:showCatName val="0"/>
            <c:showSerName val="0"/>
            <c:showPercent val="0"/>
            <c:showBubbleSize val="0"/>
            <c:showLeaderLines val="0"/>
          </c:dLbls>
          <c:cat>
            <c:strRef>
              <c:f>('10 year '!$C$30,'10 year '!$F$30:$P$30)</c:f>
              <c:strCache>
                <c:ptCount val="12"/>
                <c:pt idx="0">
                  <c:v>10Yr Avg.</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('10 year '!$C$43,'10 year '!$F$43:$P$43)</c:f>
              <c:numCache>
                <c:formatCode>0</c:formatCode>
                <c:ptCount val="12"/>
                <c:pt idx="0">
                  <c:v>22.9</c:v>
                </c:pt>
                <c:pt idx="1">
                  <c:v>25</c:v>
                </c:pt>
                <c:pt idx="2">
                  <c:v>26</c:v>
                </c:pt>
                <c:pt idx="3">
                  <c:v>20</c:v>
                </c:pt>
                <c:pt idx="4">
                  <c:v>18</c:v>
                </c:pt>
                <c:pt idx="5">
                  <c:v>24</c:v>
                </c:pt>
                <c:pt idx="6">
                  <c:v>31</c:v>
                </c:pt>
                <c:pt idx="7">
                  <c:v>18</c:v>
                </c:pt>
                <c:pt idx="8">
                  <c:v>22</c:v>
                </c:pt>
                <c:pt idx="9">
                  <c:v>22</c:v>
                </c:pt>
                <c:pt idx="10">
                  <c:v>23</c:v>
                </c:pt>
                <c:pt idx="11" formatCode="General">
                  <c:v>42</c:v>
                </c:pt>
              </c:numCache>
            </c:numRef>
          </c:val>
        </c:ser>
        <c:dLbls>
          <c:showLegendKey val="0"/>
          <c:showVal val="0"/>
          <c:showCatName val="0"/>
          <c:showSerName val="0"/>
          <c:showPercent val="0"/>
          <c:showBubbleSize val="0"/>
        </c:dLbls>
        <c:gapWidth val="150"/>
        <c:shape val="box"/>
        <c:axId val="811629056"/>
        <c:axId val="811019648"/>
        <c:axId val="0"/>
      </c:bar3DChart>
      <c:catAx>
        <c:axId val="811629056"/>
        <c:scaling>
          <c:orientation val="minMax"/>
        </c:scaling>
        <c:delete val="0"/>
        <c:axPos val="b"/>
        <c:numFmt formatCode="General" sourceLinked="1"/>
        <c:majorTickMark val="none"/>
        <c:minorTickMark val="none"/>
        <c:tickLblPos val="nextTo"/>
        <c:txPr>
          <a:bodyPr/>
          <a:lstStyle/>
          <a:p>
            <a:pPr>
              <a:defRPr b="1"/>
            </a:pPr>
            <a:endParaRPr lang="en-US"/>
          </a:p>
        </c:txPr>
        <c:crossAx val="811019648"/>
        <c:crosses val="autoZero"/>
        <c:auto val="1"/>
        <c:lblAlgn val="ctr"/>
        <c:lblOffset val="100"/>
        <c:noMultiLvlLbl val="0"/>
      </c:catAx>
      <c:valAx>
        <c:axId val="811019648"/>
        <c:scaling>
          <c:orientation val="minMax"/>
        </c:scaling>
        <c:delete val="0"/>
        <c:axPos val="l"/>
        <c:majorGridlines/>
        <c:numFmt formatCode="0" sourceLinked="1"/>
        <c:majorTickMark val="none"/>
        <c:minorTickMark val="none"/>
        <c:tickLblPos val="nextTo"/>
        <c:txPr>
          <a:bodyPr/>
          <a:lstStyle/>
          <a:p>
            <a:pPr>
              <a:defRPr b="1"/>
            </a:pPr>
            <a:endParaRPr lang="en-US"/>
          </a:p>
        </c:txPr>
        <c:crossAx val="811629056"/>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Robbery</a:t>
            </a:r>
          </a:p>
        </c:rich>
      </c:tx>
      <c:layout>
        <c:manualLayout>
          <c:xMode val="edge"/>
          <c:yMode val="edge"/>
          <c:x val="0.3903765416674212"/>
          <c:y val="2.6757854062242549E-2"/>
        </c:manualLayout>
      </c:layout>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'10 year '!$B$54:$N$54</c:f>
              <c:strCache>
                <c:ptCount val="1"/>
                <c:pt idx="0">
                  <c:v>Robbery</c:v>
                </c:pt>
              </c:strCache>
            </c:strRef>
          </c:tx>
          <c:spPr>
            <a:solidFill>
              <a:srgbClr val="2F14F8"/>
            </a:solidFill>
          </c:spPr>
          <c:invertIfNegative val="0"/>
          <c:dPt>
            <c:idx val="0"/>
            <c:invertIfNegative val="0"/>
            <c:bubble3D val="0"/>
            <c:spPr>
              <a:solidFill>
                <a:schemeClr val="tx1"/>
              </a:solidFill>
            </c:spPr>
          </c:dPt>
          <c:dPt>
            <c:idx val="11"/>
            <c:invertIfNegative val="0"/>
            <c:bubble3D val="0"/>
            <c:spPr>
              <a:solidFill>
                <a:srgbClr val="FF0000"/>
              </a:solidFill>
            </c:spPr>
          </c:dPt>
          <c:dLbls>
            <c:showLegendKey val="0"/>
            <c:showVal val="1"/>
            <c:showCatName val="0"/>
            <c:showSerName val="0"/>
            <c:showPercent val="0"/>
            <c:showBubbleSize val="0"/>
            <c:showLeaderLines val="0"/>
          </c:dLbls>
          <c:cat>
            <c:strRef>
              <c:f>('10 year '!$C$55,'10 year '!$F$55:$P$55)</c:f>
              <c:strCache>
                <c:ptCount val="12"/>
                <c:pt idx="0">
                  <c:v>10Yr Avg.</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('10 year '!$C$68,'10 year '!$F$68:$P$68)</c:f>
              <c:numCache>
                <c:formatCode>0</c:formatCode>
                <c:ptCount val="12"/>
                <c:pt idx="0">
                  <c:v>103.2</c:v>
                </c:pt>
                <c:pt idx="1">
                  <c:v>149</c:v>
                </c:pt>
                <c:pt idx="2">
                  <c:v>165</c:v>
                </c:pt>
                <c:pt idx="3">
                  <c:v>122</c:v>
                </c:pt>
                <c:pt idx="4">
                  <c:v>91</c:v>
                </c:pt>
                <c:pt idx="5">
                  <c:v>68</c:v>
                </c:pt>
                <c:pt idx="6">
                  <c:v>105</c:v>
                </c:pt>
                <c:pt idx="7">
                  <c:v>75</c:v>
                </c:pt>
                <c:pt idx="8">
                  <c:v>81</c:v>
                </c:pt>
                <c:pt idx="9">
                  <c:v>90</c:v>
                </c:pt>
                <c:pt idx="10">
                  <c:v>86</c:v>
                </c:pt>
                <c:pt idx="11" formatCode="General">
                  <c:v>102</c:v>
                </c:pt>
              </c:numCache>
            </c:numRef>
          </c:val>
        </c:ser>
        <c:dLbls>
          <c:showLegendKey val="0"/>
          <c:showVal val="0"/>
          <c:showCatName val="0"/>
          <c:showSerName val="0"/>
          <c:showPercent val="0"/>
          <c:showBubbleSize val="0"/>
        </c:dLbls>
        <c:gapWidth val="150"/>
        <c:shape val="box"/>
        <c:axId val="648048128"/>
        <c:axId val="811021376"/>
        <c:axId val="0"/>
      </c:bar3DChart>
      <c:catAx>
        <c:axId val="648048128"/>
        <c:scaling>
          <c:orientation val="minMax"/>
        </c:scaling>
        <c:delete val="0"/>
        <c:axPos val="b"/>
        <c:numFmt formatCode="General" sourceLinked="1"/>
        <c:majorTickMark val="out"/>
        <c:minorTickMark val="none"/>
        <c:tickLblPos val="nextTo"/>
        <c:txPr>
          <a:bodyPr/>
          <a:lstStyle/>
          <a:p>
            <a:pPr>
              <a:defRPr b="1"/>
            </a:pPr>
            <a:endParaRPr lang="en-US"/>
          </a:p>
        </c:txPr>
        <c:crossAx val="811021376"/>
        <c:crosses val="autoZero"/>
        <c:auto val="1"/>
        <c:lblAlgn val="ctr"/>
        <c:lblOffset val="100"/>
        <c:noMultiLvlLbl val="0"/>
      </c:catAx>
      <c:valAx>
        <c:axId val="811021376"/>
        <c:scaling>
          <c:orientation val="minMax"/>
        </c:scaling>
        <c:delete val="0"/>
        <c:axPos val="l"/>
        <c:majorGridlines/>
        <c:numFmt formatCode="0" sourceLinked="1"/>
        <c:majorTickMark val="out"/>
        <c:minorTickMark val="none"/>
        <c:tickLblPos val="nextTo"/>
        <c:txPr>
          <a:bodyPr/>
          <a:lstStyle/>
          <a:p>
            <a:pPr>
              <a:defRPr b="1"/>
            </a:pPr>
            <a:endParaRPr lang="en-US"/>
          </a:p>
        </c:txPr>
        <c:crossAx val="648048128"/>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Aggravated Assault</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'10 year '!$B$78:$N$78</c:f>
              <c:strCache>
                <c:ptCount val="1"/>
                <c:pt idx="0">
                  <c:v>Aggravated Assault</c:v>
                </c:pt>
              </c:strCache>
            </c:strRef>
          </c:tx>
          <c:spPr>
            <a:solidFill>
              <a:srgbClr val="2F14F8"/>
            </a:solidFill>
          </c:spPr>
          <c:invertIfNegative val="0"/>
          <c:dPt>
            <c:idx val="0"/>
            <c:invertIfNegative val="0"/>
            <c:bubble3D val="0"/>
            <c:spPr>
              <a:solidFill>
                <a:schemeClr val="tx1"/>
              </a:solidFill>
            </c:spPr>
          </c:dPt>
          <c:dPt>
            <c:idx val="11"/>
            <c:invertIfNegative val="0"/>
            <c:bubble3D val="0"/>
            <c:spPr>
              <a:solidFill>
                <a:srgbClr val="FF0000"/>
              </a:solidFill>
            </c:spPr>
          </c:dPt>
          <c:dLbls>
            <c:showLegendKey val="0"/>
            <c:showVal val="1"/>
            <c:showCatName val="0"/>
            <c:showSerName val="0"/>
            <c:showPercent val="0"/>
            <c:showBubbleSize val="0"/>
            <c:showLeaderLines val="0"/>
          </c:dLbls>
          <c:cat>
            <c:strRef>
              <c:f>('10 year '!$C$79,'10 year '!$F$79:$P$79)</c:f>
              <c:strCache>
                <c:ptCount val="12"/>
                <c:pt idx="0">
                  <c:v>10Yr Avg.</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('10 year '!$C$92,'10 year '!$F$92:$P$92)</c:f>
              <c:numCache>
                <c:formatCode>0</c:formatCode>
                <c:ptCount val="12"/>
                <c:pt idx="0">
                  <c:v>70.8</c:v>
                </c:pt>
                <c:pt idx="1">
                  <c:v>89</c:v>
                </c:pt>
                <c:pt idx="2">
                  <c:v>122</c:v>
                </c:pt>
                <c:pt idx="3">
                  <c:v>71</c:v>
                </c:pt>
                <c:pt idx="4">
                  <c:v>36</c:v>
                </c:pt>
                <c:pt idx="5">
                  <c:v>64</c:v>
                </c:pt>
                <c:pt idx="6">
                  <c:v>42</c:v>
                </c:pt>
                <c:pt idx="7">
                  <c:v>57</c:v>
                </c:pt>
                <c:pt idx="8">
                  <c:v>84</c:v>
                </c:pt>
                <c:pt idx="9">
                  <c:v>61</c:v>
                </c:pt>
                <c:pt idx="10">
                  <c:v>82</c:v>
                </c:pt>
                <c:pt idx="11" formatCode="General">
                  <c:v>68</c:v>
                </c:pt>
              </c:numCache>
            </c:numRef>
          </c:val>
        </c:ser>
        <c:dLbls>
          <c:showLegendKey val="0"/>
          <c:showVal val="0"/>
          <c:showCatName val="0"/>
          <c:showSerName val="0"/>
          <c:showPercent val="0"/>
          <c:showBubbleSize val="0"/>
        </c:dLbls>
        <c:gapWidth val="150"/>
        <c:shape val="box"/>
        <c:axId val="811628544"/>
        <c:axId val="811023104"/>
        <c:axId val="0"/>
      </c:bar3DChart>
      <c:catAx>
        <c:axId val="811628544"/>
        <c:scaling>
          <c:orientation val="minMax"/>
        </c:scaling>
        <c:delete val="0"/>
        <c:axPos val="b"/>
        <c:numFmt formatCode="General" sourceLinked="1"/>
        <c:majorTickMark val="out"/>
        <c:minorTickMark val="none"/>
        <c:tickLblPos val="nextTo"/>
        <c:txPr>
          <a:bodyPr/>
          <a:lstStyle/>
          <a:p>
            <a:pPr>
              <a:defRPr b="1"/>
            </a:pPr>
            <a:endParaRPr lang="en-US"/>
          </a:p>
        </c:txPr>
        <c:crossAx val="811023104"/>
        <c:crosses val="autoZero"/>
        <c:auto val="1"/>
        <c:lblAlgn val="ctr"/>
        <c:lblOffset val="100"/>
        <c:noMultiLvlLbl val="0"/>
      </c:catAx>
      <c:valAx>
        <c:axId val="811023104"/>
        <c:scaling>
          <c:orientation val="minMax"/>
        </c:scaling>
        <c:delete val="0"/>
        <c:axPos val="l"/>
        <c:majorGridlines/>
        <c:numFmt formatCode="0" sourceLinked="1"/>
        <c:majorTickMark val="out"/>
        <c:minorTickMark val="none"/>
        <c:tickLblPos val="nextTo"/>
        <c:spPr>
          <a:noFill/>
        </c:spPr>
        <c:txPr>
          <a:bodyPr/>
          <a:lstStyle/>
          <a:p>
            <a:pPr>
              <a:defRPr b="1"/>
            </a:pPr>
            <a:endParaRPr lang="en-US"/>
          </a:p>
        </c:txPr>
        <c:crossAx val="811628544"/>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Property Crimes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'10 year '!$B$255:$N$255</c:f>
              <c:strCache>
                <c:ptCount val="1"/>
                <c:pt idx="0">
                  <c:v>Property Crimes</c:v>
                </c:pt>
              </c:strCache>
            </c:strRef>
          </c:tx>
          <c:spPr>
            <a:solidFill>
              <a:srgbClr val="2F14F8"/>
            </a:solidFill>
          </c:spPr>
          <c:invertIfNegative val="0"/>
          <c:dPt>
            <c:idx val="0"/>
            <c:invertIfNegative val="0"/>
            <c:bubble3D val="0"/>
            <c:spPr>
              <a:solidFill>
                <a:schemeClr val="tx1"/>
              </a:solidFill>
            </c:spPr>
          </c:dPt>
          <c:dPt>
            <c:idx val="11"/>
            <c:invertIfNegative val="0"/>
            <c:bubble3D val="0"/>
            <c:spPr>
              <a:solidFill>
                <a:srgbClr val="FF0000"/>
              </a:solidFill>
            </c:spPr>
          </c:dPt>
          <c:cat>
            <c:strRef>
              <c:f>('10 year '!$C$256,'10 year '!$F$256:$P$256)</c:f>
              <c:strCache>
                <c:ptCount val="12"/>
                <c:pt idx="0">
                  <c:v>10Yr Avg.</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('10 year '!$C$269,'10 year '!$F$269:$P$269)</c:f>
              <c:numCache>
                <c:formatCode>0</c:formatCode>
                <c:ptCount val="12"/>
                <c:pt idx="0">
                  <c:v>4009.8</c:v>
                </c:pt>
                <c:pt idx="1">
                  <c:v>5212</c:v>
                </c:pt>
                <c:pt idx="2">
                  <c:v>5185</c:v>
                </c:pt>
                <c:pt idx="3">
                  <c:v>3997</c:v>
                </c:pt>
                <c:pt idx="4">
                  <c:v>3687</c:v>
                </c:pt>
                <c:pt idx="5">
                  <c:v>3719</c:v>
                </c:pt>
                <c:pt idx="6">
                  <c:v>3692</c:v>
                </c:pt>
                <c:pt idx="7">
                  <c:v>3726</c:v>
                </c:pt>
                <c:pt idx="8">
                  <c:v>3588</c:v>
                </c:pt>
                <c:pt idx="9">
                  <c:v>3638</c:v>
                </c:pt>
                <c:pt idx="10" formatCode="General">
                  <c:v>3654</c:v>
                </c:pt>
                <c:pt idx="11" formatCode="General">
                  <c:v>3855</c:v>
                </c:pt>
              </c:numCache>
            </c:numRef>
          </c:val>
        </c:ser>
        <c:dLbls>
          <c:showLegendKey val="0"/>
          <c:showVal val="1"/>
          <c:showCatName val="0"/>
          <c:showSerName val="0"/>
          <c:showPercent val="0"/>
          <c:showBubbleSize val="0"/>
        </c:dLbls>
        <c:gapWidth val="150"/>
        <c:shape val="box"/>
        <c:axId val="811629568"/>
        <c:axId val="934412864"/>
        <c:axId val="0"/>
      </c:bar3DChart>
      <c:catAx>
        <c:axId val="811629568"/>
        <c:scaling>
          <c:orientation val="minMax"/>
        </c:scaling>
        <c:delete val="0"/>
        <c:axPos val="b"/>
        <c:numFmt formatCode="General" sourceLinked="1"/>
        <c:majorTickMark val="none"/>
        <c:minorTickMark val="none"/>
        <c:tickLblPos val="nextTo"/>
        <c:txPr>
          <a:bodyPr/>
          <a:lstStyle/>
          <a:p>
            <a:pPr>
              <a:defRPr b="1"/>
            </a:pPr>
            <a:endParaRPr lang="en-US"/>
          </a:p>
        </c:txPr>
        <c:crossAx val="934412864"/>
        <c:crosses val="autoZero"/>
        <c:auto val="1"/>
        <c:lblAlgn val="ctr"/>
        <c:lblOffset val="100"/>
        <c:noMultiLvlLbl val="0"/>
      </c:catAx>
      <c:valAx>
        <c:axId val="934412864"/>
        <c:scaling>
          <c:orientation val="minMax"/>
        </c:scaling>
        <c:delete val="0"/>
        <c:axPos val="l"/>
        <c:majorGridlines/>
        <c:numFmt formatCode="0" sourceLinked="1"/>
        <c:majorTickMark val="none"/>
        <c:minorTickMark val="none"/>
        <c:tickLblPos val="nextTo"/>
        <c:txPr>
          <a:bodyPr/>
          <a:lstStyle/>
          <a:p>
            <a:pPr>
              <a:defRPr b="1"/>
            </a:pPr>
            <a:endParaRPr lang="en-US"/>
          </a:p>
        </c:txPr>
        <c:crossAx val="811629568"/>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Burglary</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'10 year '!$B$189:$N$189</c:f>
              <c:strCache>
                <c:ptCount val="1"/>
                <c:pt idx="0">
                  <c:v>Burglary</c:v>
                </c:pt>
              </c:strCache>
            </c:strRef>
          </c:tx>
          <c:spPr>
            <a:solidFill>
              <a:srgbClr val="2F14F8"/>
            </a:solidFill>
          </c:spPr>
          <c:invertIfNegative val="0"/>
          <c:dPt>
            <c:idx val="0"/>
            <c:invertIfNegative val="0"/>
            <c:bubble3D val="0"/>
            <c:spPr>
              <a:solidFill>
                <a:schemeClr val="tx1"/>
              </a:solidFill>
            </c:spPr>
          </c:dPt>
          <c:dPt>
            <c:idx val="11"/>
            <c:invertIfNegative val="0"/>
            <c:bubble3D val="0"/>
            <c:spPr>
              <a:solidFill>
                <a:srgbClr val="FF0000"/>
              </a:solidFill>
            </c:spPr>
          </c:dPt>
          <c:dLbls>
            <c:showLegendKey val="0"/>
            <c:showVal val="1"/>
            <c:showCatName val="0"/>
            <c:showSerName val="0"/>
            <c:showPercent val="0"/>
            <c:showBubbleSize val="0"/>
            <c:showLeaderLines val="0"/>
          </c:dLbls>
          <c:cat>
            <c:strRef>
              <c:f>('10 year '!$C$190,'10 year '!$F$190:$P$190)</c:f>
              <c:strCache>
                <c:ptCount val="12"/>
                <c:pt idx="0">
                  <c:v>10Yr Avg.</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('10 year '!$C$203,'10 year '!$F$203:$P$203)</c:f>
              <c:numCache>
                <c:formatCode>0</c:formatCode>
                <c:ptCount val="12"/>
                <c:pt idx="0">
                  <c:v>944.3</c:v>
                </c:pt>
                <c:pt idx="1">
                  <c:v>1429</c:v>
                </c:pt>
                <c:pt idx="2">
                  <c:v>1286</c:v>
                </c:pt>
                <c:pt idx="3">
                  <c:v>946</c:v>
                </c:pt>
                <c:pt idx="4">
                  <c:v>990</c:v>
                </c:pt>
                <c:pt idx="5">
                  <c:v>927</c:v>
                </c:pt>
                <c:pt idx="6">
                  <c:v>994</c:v>
                </c:pt>
                <c:pt idx="7">
                  <c:v>948</c:v>
                </c:pt>
                <c:pt idx="8">
                  <c:v>687</c:v>
                </c:pt>
                <c:pt idx="9">
                  <c:v>622</c:v>
                </c:pt>
                <c:pt idx="10" formatCode="General">
                  <c:v>614</c:v>
                </c:pt>
                <c:pt idx="11" formatCode="General">
                  <c:v>650</c:v>
                </c:pt>
              </c:numCache>
            </c:numRef>
          </c:val>
        </c:ser>
        <c:dLbls>
          <c:showLegendKey val="0"/>
          <c:showVal val="0"/>
          <c:showCatName val="0"/>
          <c:showSerName val="0"/>
          <c:showPercent val="0"/>
          <c:showBubbleSize val="0"/>
        </c:dLbls>
        <c:gapWidth val="150"/>
        <c:shape val="box"/>
        <c:axId val="818035712"/>
        <c:axId val="934414592"/>
        <c:axId val="0"/>
      </c:bar3DChart>
      <c:catAx>
        <c:axId val="818035712"/>
        <c:scaling>
          <c:orientation val="minMax"/>
        </c:scaling>
        <c:delete val="0"/>
        <c:axPos val="b"/>
        <c:numFmt formatCode="General" sourceLinked="1"/>
        <c:majorTickMark val="none"/>
        <c:minorTickMark val="none"/>
        <c:tickLblPos val="nextTo"/>
        <c:txPr>
          <a:bodyPr/>
          <a:lstStyle/>
          <a:p>
            <a:pPr>
              <a:defRPr b="1"/>
            </a:pPr>
            <a:endParaRPr lang="en-US"/>
          </a:p>
        </c:txPr>
        <c:crossAx val="934414592"/>
        <c:crosses val="autoZero"/>
        <c:auto val="1"/>
        <c:lblAlgn val="ctr"/>
        <c:lblOffset val="100"/>
        <c:noMultiLvlLbl val="0"/>
      </c:catAx>
      <c:valAx>
        <c:axId val="934414592"/>
        <c:scaling>
          <c:orientation val="minMax"/>
        </c:scaling>
        <c:delete val="0"/>
        <c:axPos val="l"/>
        <c:majorGridlines/>
        <c:numFmt formatCode="0" sourceLinked="1"/>
        <c:majorTickMark val="none"/>
        <c:minorTickMark val="none"/>
        <c:tickLblPos val="nextTo"/>
        <c:txPr>
          <a:bodyPr/>
          <a:lstStyle/>
          <a:p>
            <a:pPr>
              <a:defRPr b="1"/>
            </a:pPr>
            <a:endParaRPr lang="en-US"/>
          </a:p>
        </c:txPr>
        <c:crossAx val="818035712"/>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Larceny</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'10 year '!$B$233:$N$233</c:f>
              <c:strCache>
                <c:ptCount val="1"/>
                <c:pt idx="0">
                  <c:v>Larceny</c:v>
                </c:pt>
              </c:strCache>
            </c:strRef>
          </c:tx>
          <c:spPr>
            <a:solidFill>
              <a:srgbClr val="2F14F8"/>
            </a:solidFill>
          </c:spPr>
          <c:invertIfNegative val="0"/>
          <c:dPt>
            <c:idx val="0"/>
            <c:invertIfNegative val="0"/>
            <c:bubble3D val="0"/>
            <c:spPr>
              <a:solidFill>
                <a:schemeClr val="tx1"/>
              </a:solidFill>
            </c:spPr>
          </c:dPt>
          <c:dPt>
            <c:idx val="11"/>
            <c:invertIfNegative val="0"/>
            <c:bubble3D val="0"/>
            <c:spPr>
              <a:solidFill>
                <a:srgbClr val="FF0000"/>
              </a:solidFill>
            </c:spPr>
          </c:dPt>
          <c:cat>
            <c:strRef>
              <c:f>('10 year '!$C$234,'10 year '!$F$234:$P$234)</c:f>
              <c:strCache>
                <c:ptCount val="12"/>
                <c:pt idx="0">
                  <c:v>10Yr Avg.</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('10 year '!$C$247,'10 year '!$F$247:$P$247)</c:f>
              <c:numCache>
                <c:formatCode>0</c:formatCode>
                <c:ptCount val="12"/>
                <c:pt idx="0">
                  <c:v>2858.3</c:v>
                </c:pt>
                <c:pt idx="1">
                  <c:v>3364</c:v>
                </c:pt>
                <c:pt idx="2">
                  <c:v>3515</c:v>
                </c:pt>
                <c:pt idx="3">
                  <c:v>2824</c:v>
                </c:pt>
                <c:pt idx="4">
                  <c:v>2547</c:v>
                </c:pt>
                <c:pt idx="5">
                  <c:v>2652</c:v>
                </c:pt>
                <c:pt idx="6">
                  <c:v>2547</c:v>
                </c:pt>
                <c:pt idx="7">
                  <c:v>2617</c:v>
                </c:pt>
                <c:pt idx="8">
                  <c:v>2774</c:v>
                </c:pt>
                <c:pt idx="9">
                  <c:v>2873</c:v>
                </c:pt>
                <c:pt idx="10" formatCode="General">
                  <c:v>2870</c:v>
                </c:pt>
                <c:pt idx="11" formatCode="General">
                  <c:v>3023</c:v>
                </c:pt>
              </c:numCache>
            </c:numRef>
          </c:val>
        </c:ser>
        <c:dLbls>
          <c:showLegendKey val="0"/>
          <c:showVal val="1"/>
          <c:showCatName val="0"/>
          <c:showSerName val="0"/>
          <c:showPercent val="0"/>
          <c:showBubbleSize val="0"/>
        </c:dLbls>
        <c:gapWidth val="150"/>
        <c:shape val="box"/>
        <c:axId val="736719360"/>
        <c:axId val="934416320"/>
        <c:axId val="0"/>
      </c:bar3DChart>
      <c:catAx>
        <c:axId val="736719360"/>
        <c:scaling>
          <c:orientation val="minMax"/>
        </c:scaling>
        <c:delete val="0"/>
        <c:axPos val="b"/>
        <c:numFmt formatCode="General" sourceLinked="1"/>
        <c:majorTickMark val="none"/>
        <c:minorTickMark val="none"/>
        <c:tickLblPos val="nextTo"/>
        <c:txPr>
          <a:bodyPr/>
          <a:lstStyle/>
          <a:p>
            <a:pPr>
              <a:defRPr b="1"/>
            </a:pPr>
            <a:endParaRPr lang="en-US"/>
          </a:p>
        </c:txPr>
        <c:crossAx val="934416320"/>
        <c:crosses val="autoZero"/>
        <c:auto val="1"/>
        <c:lblAlgn val="ctr"/>
        <c:lblOffset val="100"/>
        <c:noMultiLvlLbl val="0"/>
      </c:catAx>
      <c:valAx>
        <c:axId val="934416320"/>
        <c:scaling>
          <c:orientation val="minMax"/>
        </c:scaling>
        <c:delete val="0"/>
        <c:axPos val="l"/>
        <c:majorGridlines/>
        <c:numFmt formatCode="0" sourceLinked="1"/>
        <c:majorTickMark val="none"/>
        <c:minorTickMark val="none"/>
        <c:tickLblPos val="nextTo"/>
        <c:txPr>
          <a:bodyPr/>
          <a:lstStyle/>
          <a:p>
            <a:pPr>
              <a:defRPr b="1"/>
            </a:pPr>
            <a:endParaRPr lang="en-US"/>
          </a:p>
        </c:txPr>
        <c:crossAx val="736719360"/>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Group A Crimes</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tx>
            <c:strRef>
              <c:f>'10 year '!$B$281:$T$281</c:f>
              <c:strCache>
                <c:ptCount val="1"/>
                <c:pt idx="0">
                  <c:v>Group A Crimes</c:v>
                </c:pt>
              </c:strCache>
            </c:strRef>
          </c:tx>
          <c:spPr>
            <a:solidFill>
              <a:srgbClr val="2F14F8"/>
            </a:solidFill>
          </c:spPr>
          <c:invertIfNegative val="0"/>
          <c:dPt>
            <c:idx val="0"/>
            <c:invertIfNegative val="0"/>
            <c:bubble3D val="0"/>
            <c:spPr>
              <a:solidFill>
                <a:schemeClr val="tx1"/>
              </a:solidFill>
            </c:spPr>
          </c:dPt>
          <c:dPt>
            <c:idx val="6"/>
            <c:invertIfNegative val="0"/>
            <c:bubble3D val="0"/>
          </c:dPt>
          <c:dPt>
            <c:idx val="11"/>
            <c:invertIfNegative val="0"/>
            <c:bubble3D val="0"/>
            <c:spPr>
              <a:solidFill>
                <a:srgbClr val="FF0000"/>
              </a:solidFill>
            </c:spPr>
          </c:dPt>
          <c:cat>
            <c:strRef>
              <c:f>'10 year '!$C$282:$N$282</c:f>
              <c:strCache>
                <c:ptCount val="12"/>
                <c:pt idx="0">
                  <c:v>10Yr Avg.</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'10 year '!$C$295:$N$295</c:f>
              <c:numCache>
                <c:formatCode>0</c:formatCode>
                <c:ptCount val="12"/>
                <c:pt idx="0">
                  <c:v>8789.6</c:v>
                </c:pt>
                <c:pt idx="1">
                  <c:v>11301</c:v>
                </c:pt>
                <c:pt idx="2">
                  <c:v>11194</c:v>
                </c:pt>
                <c:pt idx="3">
                  <c:v>9206</c:v>
                </c:pt>
                <c:pt idx="4">
                  <c:v>8364</c:v>
                </c:pt>
                <c:pt idx="5">
                  <c:v>8127</c:v>
                </c:pt>
                <c:pt idx="6">
                  <c:v>8014</c:v>
                </c:pt>
                <c:pt idx="7">
                  <c:v>7617</c:v>
                </c:pt>
                <c:pt idx="8">
                  <c:v>7710</c:v>
                </c:pt>
                <c:pt idx="9">
                  <c:v>7826</c:v>
                </c:pt>
                <c:pt idx="10" formatCode="General">
                  <c:v>8537</c:v>
                </c:pt>
                <c:pt idx="11" formatCode="General">
                  <c:v>8877</c:v>
                </c:pt>
              </c:numCache>
            </c:numRef>
          </c:val>
        </c:ser>
        <c:dLbls>
          <c:showLegendKey val="0"/>
          <c:showVal val="1"/>
          <c:showCatName val="0"/>
          <c:showSerName val="0"/>
          <c:showPercent val="0"/>
          <c:showBubbleSize val="0"/>
        </c:dLbls>
        <c:gapWidth val="150"/>
        <c:shape val="box"/>
        <c:axId val="818035200"/>
        <c:axId val="934418048"/>
        <c:axId val="0"/>
      </c:bar3DChart>
      <c:catAx>
        <c:axId val="818035200"/>
        <c:scaling>
          <c:orientation val="minMax"/>
        </c:scaling>
        <c:delete val="0"/>
        <c:axPos val="b"/>
        <c:numFmt formatCode="General" sourceLinked="1"/>
        <c:majorTickMark val="none"/>
        <c:minorTickMark val="none"/>
        <c:tickLblPos val="nextTo"/>
        <c:txPr>
          <a:bodyPr/>
          <a:lstStyle/>
          <a:p>
            <a:pPr>
              <a:defRPr b="1"/>
            </a:pPr>
            <a:endParaRPr lang="en-US"/>
          </a:p>
        </c:txPr>
        <c:crossAx val="934418048"/>
        <c:crosses val="autoZero"/>
        <c:auto val="1"/>
        <c:lblAlgn val="ctr"/>
        <c:lblOffset val="100"/>
        <c:noMultiLvlLbl val="0"/>
      </c:catAx>
      <c:valAx>
        <c:axId val="934418048"/>
        <c:scaling>
          <c:orientation val="minMax"/>
        </c:scaling>
        <c:delete val="0"/>
        <c:axPos val="l"/>
        <c:majorGridlines/>
        <c:numFmt formatCode="0" sourceLinked="1"/>
        <c:majorTickMark val="none"/>
        <c:minorTickMark val="none"/>
        <c:tickLblPos val="nextTo"/>
        <c:txPr>
          <a:bodyPr/>
          <a:lstStyle/>
          <a:p>
            <a:pPr>
              <a:defRPr b="1"/>
            </a:pPr>
            <a:endParaRPr lang="en-US"/>
          </a:p>
        </c:txPr>
        <c:crossAx val="818035200"/>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Homicide</a:t>
            </a:r>
          </a:p>
        </c:rich>
      </c:tx>
      <c:layout>
        <c:manualLayout>
          <c:xMode val="edge"/>
          <c:yMode val="edge"/>
          <c:x val="0.38659714832943182"/>
          <c:y val="2.3598888374247333E-2"/>
        </c:manualLayout>
      </c:layout>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rgbClr val="2F14F8"/>
            </a:solidFill>
          </c:spPr>
          <c:invertIfNegative val="0"/>
          <c:dPt>
            <c:idx val="0"/>
            <c:invertIfNegative val="0"/>
            <c:bubble3D val="0"/>
            <c:spPr>
              <a:solidFill>
                <a:schemeClr val="tx1"/>
              </a:solidFill>
            </c:spPr>
          </c:dPt>
          <c:dPt>
            <c:idx val="6"/>
            <c:invertIfNegative val="0"/>
            <c:bubble3D val="0"/>
            <c:spPr>
              <a:solidFill>
                <a:srgbClr val="FF0000"/>
              </a:solidFill>
            </c:spPr>
          </c:dPt>
          <c:dLbls>
            <c:showLegendKey val="0"/>
            <c:showVal val="1"/>
            <c:showCatName val="0"/>
            <c:showSerName val="0"/>
            <c:showPercent val="0"/>
            <c:showBubbleSize val="0"/>
            <c:showLeaderLines val="0"/>
          </c:dLbls>
          <c:cat>
            <c:strRef>
              <c:f>'5 year'!$C$4:$I$4</c:f>
              <c:strCache>
                <c:ptCount val="7"/>
                <c:pt idx="0">
                  <c:v>5Yr Avg.</c:v>
                </c:pt>
                <c:pt idx="1">
                  <c:v>2011</c:v>
                </c:pt>
                <c:pt idx="2">
                  <c:v>2012</c:v>
                </c:pt>
                <c:pt idx="3">
                  <c:v>2013</c:v>
                </c:pt>
                <c:pt idx="4">
                  <c:v>2014</c:v>
                </c:pt>
                <c:pt idx="5">
                  <c:v>2015</c:v>
                </c:pt>
                <c:pt idx="6">
                  <c:v>2016</c:v>
                </c:pt>
              </c:strCache>
            </c:strRef>
          </c:cat>
          <c:val>
            <c:numRef>
              <c:f>'5 year'!$C$17:$I$17</c:f>
              <c:numCache>
                <c:formatCode>General</c:formatCode>
                <c:ptCount val="7"/>
                <c:pt idx="0" formatCode="0">
                  <c:v>7.6</c:v>
                </c:pt>
                <c:pt idx="1">
                  <c:v>17</c:v>
                </c:pt>
                <c:pt idx="2">
                  <c:v>3</c:v>
                </c:pt>
                <c:pt idx="3">
                  <c:v>3</c:v>
                </c:pt>
                <c:pt idx="4">
                  <c:v>7</c:v>
                </c:pt>
                <c:pt idx="5">
                  <c:v>8</c:v>
                </c:pt>
                <c:pt idx="6">
                  <c:v>10</c:v>
                </c:pt>
              </c:numCache>
            </c:numRef>
          </c:val>
        </c:ser>
        <c:dLbls>
          <c:showLegendKey val="0"/>
          <c:showVal val="0"/>
          <c:showCatName val="0"/>
          <c:showSerName val="0"/>
          <c:showPercent val="0"/>
          <c:showBubbleSize val="0"/>
        </c:dLbls>
        <c:gapWidth val="150"/>
        <c:shape val="box"/>
        <c:axId val="804380672"/>
        <c:axId val="40078144"/>
        <c:axId val="0"/>
      </c:bar3DChart>
      <c:catAx>
        <c:axId val="804380672"/>
        <c:scaling>
          <c:orientation val="minMax"/>
        </c:scaling>
        <c:delete val="0"/>
        <c:axPos val="b"/>
        <c:numFmt formatCode="General" sourceLinked="1"/>
        <c:majorTickMark val="out"/>
        <c:minorTickMark val="none"/>
        <c:tickLblPos val="nextTo"/>
        <c:txPr>
          <a:bodyPr/>
          <a:lstStyle/>
          <a:p>
            <a:pPr>
              <a:defRPr b="1"/>
            </a:pPr>
            <a:endParaRPr lang="en-US"/>
          </a:p>
        </c:txPr>
        <c:crossAx val="40078144"/>
        <c:crosses val="autoZero"/>
        <c:auto val="1"/>
        <c:lblAlgn val="ctr"/>
        <c:lblOffset val="100"/>
        <c:noMultiLvlLbl val="0"/>
      </c:catAx>
      <c:valAx>
        <c:axId val="40078144"/>
        <c:scaling>
          <c:orientation val="minMax"/>
        </c:scaling>
        <c:delete val="0"/>
        <c:axPos val="l"/>
        <c:majorGridlines/>
        <c:numFmt formatCode="0" sourceLinked="1"/>
        <c:majorTickMark val="out"/>
        <c:minorTickMark val="none"/>
        <c:tickLblPos val="nextTo"/>
        <c:txPr>
          <a:bodyPr/>
          <a:lstStyle/>
          <a:p>
            <a:pPr>
              <a:defRPr b="1"/>
            </a:pPr>
            <a:endParaRPr lang="en-US"/>
          </a:p>
        </c:txPr>
        <c:crossAx val="804380672"/>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Forcible Rape</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rgbClr val="3333FF"/>
            </a:solidFill>
          </c:spPr>
          <c:invertIfNegative val="0"/>
          <c:dPt>
            <c:idx val="0"/>
            <c:invertIfNegative val="0"/>
            <c:bubble3D val="0"/>
            <c:spPr>
              <a:solidFill>
                <a:schemeClr val="tx1"/>
              </a:solidFill>
            </c:spPr>
          </c:dPt>
          <c:dPt>
            <c:idx val="1"/>
            <c:invertIfNegative val="0"/>
            <c:bubble3D val="0"/>
            <c:spPr>
              <a:solidFill>
                <a:srgbClr val="2F14F8"/>
              </a:solidFill>
            </c:spPr>
          </c:dPt>
          <c:dPt>
            <c:idx val="2"/>
            <c:invertIfNegative val="0"/>
            <c:bubble3D val="0"/>
            <c:spPr>
              <a:solidFill>
                <a:srgbClr val="2F14F8"/>
              </a:solidFill>
            </c:spPr>
          </c:dPt>
          <c:dPt>
            <c:idx val="3"/>
            <c:invertIfNegative val="0"/>
            <c:bubble3D val="0"/>
            <c:spPr>
              <a:solidFill>
                <a:srgbClr val="2F14F8"/>
              </a:solidFill>
            </c:spPr>
          </c:dPt>
          <c:dPt>
            <c:idx val="4"/>
            <c:invertIfNegative val="0"/>
            <c:bubble3D val="0"/>
            <c:spPr>
              <a:solidFill>
                <a:srgbClr val="2F14F8"/>
              </a:solidFill>
            </c:spPr>
          </c:dPt>
          <c:dPt>
            <c:idx val="5"/>
            <c:invertIfNegative val="0"/>
            <c:bubble3D val="0"/>
            <c:spPr>
              <a:solidFill>
                <a:srgbClr val="2F14F8"/>
              </a:solidFill>
            </c:spPr>
          </c:dPt>
          <c:dPt>
            <c:idx val="6"/>
            <c:invertIfNegative val="0"/>
            <c:bubble3D val="0"/>
            <c:spPr>
              <a:solidFill>
                <a:srgbClr val="FF0000"/>
              </a:solidFill>
            </c:spPr>
          </c:dPt>
          <c:dLbls>
            <c:showLegendKey val="0"/>
            <c:showVal val="1"/>
            <c:showCatName val="0"/>
            <c:showSerName val="0"/>
            <c:showPercent val="0"/>
            <c:showBubbleSize val="0"/>
            <c:showLeaderLines val="0"/>
          </c:dLbls>
          <c:cat>
            <c:strRef>
              <c:f>'5 year'!$C$30:$I$30</c:f>
              <c:strCache>
                <c:ptCount val="7"/>
                <c:pt idx="0">
                  <c:v>5Yr Avg.</c:v>
                </c:pt>
                <c:pt idx="1">
                  <c:v>2011</c:v>
                </c:pt>
                <c:pt idx="2">
                  <c:v>2012</c:v>
                </c:pt>
                <c:pt idx="3">
                  <c:v>2013</c:v>
                </c:pt>
                <c:pt idx="4">
                  <c:v>2014</c:v>
                </c:pt>
                <c:pt idx="5">
                  <c:v>2015</c:v>
                </c:pt>
                <c:pt idx="6">
                  <c:v>2016</c:v>
                </c:pt>
              </c:strCache>
            </c:strRef>
          </c:cat>
          <c:val>
            <c:numRef>
              <c:f>'5 year'!$C$43:$I$43</c:f>
              <c:numCache>
                <c:formatCode>General</c:formatCode>
                <c:ptCount val="7"/>
                <c:pt idx="0" formatCode="0">
                  <c:v>23.2</c:v>
                </c:pt>
                <c:pt idx="1">
                  <c:v>31</c:v>
                </c:pt>
                <c:pt idx="2">
                  <c:v>18</c:v>
                </c:pt>
                <c:pt idx="3">
                  <c:v>22</c:v>
                </c:pt>
                <c:pt idx="4">
                  <c:v>22</c:v>
                </c:pt>
                <c:pt idx="5">
                  <c:v>23</c:v>
                </c:pt>
                <c:pt idx="6">
                  <c:v>42</c:v>
                </c:pt>
              </c:numCache>
            </c:numRef>
          </c:val>
        </c:ser>
        <c:dLbls>
          <c:showLegendKey val="0"/>
          <c:showVal val="0"/>
          <c:showCatName val="0"/>
          <c:showSerName val="0"/>
          <c:showPercent val="0"/>
          <c:showBubbleSize val="0"/>
        </c:dLbls>
        <c:gapWidth val="150"/>
        <c:shape val="box"/>
        <c:axId val="804383232"/>
        <c:axId val="40079872"/>
        <c:axId val="0"/>
      </c:bar3DChart>
      <c:catAx>
        <c:axId val="804383232"/>
        <c:scaling>
          <c:orientation val="minMax"/>
        </c:scaling>
        <c:delete val="0"/>
        <c:axPos val="b"/>
        <c:numFmt formatCode="General" sourceLinked="1"/>
        <c:majorTickMark val="none"/>
        <c:minorTickMark val="none"/>
        <c:tickLblPos val="nextTo"/>
        <c:txPr>
          <a:bodyPr/>
          <a:lstStyle/>
          <a:p>
            <a:pPr>
              <a:defRPr b="1"/>
            </a:pPr>
            <a:endParaRPr lang="en-US"/>
          </a:p>
        </c:txPr>
        <c:crossAx val="40079872"/>
        <c:crosses val="autoZero"/>
        <c:auto val="1"/>
        <c:lblAlgn val="ctr"/>
        <c:lblOffset val="100"/>
        <c:noMultiLvlLbl val="0"/>
      </c:catAx>
      <c:valAx>
        <c:axId val="40079872"/>
        <c:scaling>
          <c:orientation val="minMax"/>
        </c:scaling>
        <c:delete val="0"/>
        <c:axPos val="l"/>
        <c:majorGridlines/>
        <c:numFmt formatCode="0" sourceLinked="1"/>
        <c:majorTickMark val="none"/>
        <c:minorTickMark val="none"/>
        <c:tickLblPos val="nextTo"/>
        <c:txPr>
          <a:bodyPr/>
          <a:lstStyle/>
          <a:p>
            <a:pPr>
              <a:defRPr b="1"/>
            </a:pPr>
            <a:endParaRPr lang="en-US"/>
          </a:p>
        </c:txPr>
        <c:crossAx val="804383232"/>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Robbery</a:t>
            </a:r>
          </a:p>
        </c:rich>
      </c:tx>
      <c:layout>
        <c:manualLayout>
          <c:xMode val="edge"/>
          <c:yMode val="edge"/>
          <c:x val="0.39037654166742097"/>
          <c:y val="2.6757854062242549E-2"/>
        </c:manualLayout>
      </c:layout>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rgbClr val="2F14F8"/>
            </a:solidFill>
          </c:spPr>
          <c:invertIfNegative val="0"/>
          <c:dPt>
            <c:idx val="0"/>
            <c:invertIfNegative val="0"/>
            <c:bubble3D val="0"/>
            <c:spPr>
              <a:solidFill>
                <a:schemeClr val="tx1"/>
              </a:solidFill>
            </c:spPr>
          </c:dPt>
          <c:dPt>
            <c:idx val="6"/>
            <c:invertIfNegative val="0"/>
            <c:bubble3D val="0"/>
            <c:spPr>
              <a:solidFill>
                <a:srgbClr val="FF0000"/>
              </a:solidFill>
            </c:spPr>
          </c:dPt>
          <c:dLbls>
            <c:showLegendKey val="0"/>
            <c:showVal val="1"/>
            <c:showCatName val="0"/>
            <c:showSerName val="0"/>
            <c:showPercent val="0"/>
            <c:showBubbleSize val="0"/>
            <c:showLeaderLines val="0"/>
          </c:dLbls>
          <c:cat>
            <c:strRef>
              <c:f>'5 year'!$C$55:$I$55</c:f>
              <c:strCache>
                <c:ptCount val="7"/>
                <c:pt idx="0">
                  <c:v>5Yr Avg.</c:v>
                </c:pt>
                <c:pt idx="1">
                  <c:v>2011</c:v>
                </c:pt>
                <c:pt idx="2">
                  <c:v>2012</c:v>
                </c:pt>
                <c:pt idx="3">
                  <c:v>2013</c:v>
                </c:pt>
                <c:pt idx="4">
                  <c:v>2014</c:v>
                </c:pt>
                <c:pt idx="5">
                  <c:v>2015</c:v>
                </c:pt>
                <c:pt idx="6">
                  <c:v>2016</c:v>
                </c:pt>
              </c:strCache>
            </c:strRef>
          </c:cat>
          <c:val>
            <c:numRef>
              <c:f>'5 year'!$C$68:$I$68</c:f>
              <c:numCache>
                <c:formatCode>General</c:formatCode>
                <c:ptCount val="7"/>
                <c:pt idx="0" formatCode="0">
                  <c:v>87.4</c:v>
                </c:pt>
                <c:pt idx="1">
                  <c:v>105</c:v>
                </c:pt>
                <c:pt idx="2">
                  <c:v>75</c:v>
                </c:pt>
                <c:pt idx="3">
                  <c:v>81</c:v>
                </c:pt>
                <c:pt idx="4">
                  <c:v>90</c:v>
                </c:pt>
                <c:pt idx="5">
                  <c:v>86</c:v>
                </c:pt>
                <c:pt idx="6">
                  <c:v>102</c:v>
                </c:pt>
              </c:numCache>
            </c:numRef>
          </c:val>
        </c:ser>
        <c:dLbls>
          <c:showLegendKey val="0"/>
          <c:showVal val="0"/>
          <c:showCatName val="0"/>
          <c:showSerName val="0"/>
          <c:showPercent val="0"/>
          <c:showBubbleSize val="0"/>
        </c:dLbls>
        <c:gapWidth val="150"/>
        <c:shape val="box"/>
        <c:axId val="804383744"/>
        <c:axId val="40081600"/>
        <c:axId val="0"/>
      </c:bar3DChart>
      <c:catAx>
        <c:axId val="804383744"/>
        <c:scaling>
          <c:orientation val="minMax"/>
        </c:scaling>
        <c:delete val="0"/>
        <c:axPos val="b"/>
        <c:numFmt formatCode="General" sourceLinked="1"/>
        <c:majorTickMark val="out"/>
        <c:minorTickMark val="none"/>
        <c:tickLblPos val="nextTo"/>
        <c:txPr>
          <a:bodyPr/>
          <a:lstStyle/>
          <a:p>
            <a:pPr>
              <a:defRPr b="1"/>
            </a:pPr>
            <a:endParaRPr lang="en-US"/>
          </a:p>
        </c:txPr>
        <c:crossAx val="40081600"/>
        <c:crosses val="autoZero"/>
        <c:auto val="1"/>
        <c:lblAlgn val="ctr"/>
        <c:lblOffset val="100"/>
        <c:noMultiLvlLbl val="0"/>
      </c:catAx>
      <c:valAx>
        <c:axId val="40081600"/>
        <c:scaling>
          <c:orientation val="minMax"/>
        </c:scaling>
        <c:delete val="0"/>
        <c:axPos val="l"/>
        <c:majorGridlines/>
        <c:numFmt formatCode="0" sourceLinked="1"/>
        <c:majorTickMark val="out"/>
        <c:minorTickMark val="none"/>
        <c:tickLblPos val="nextTo"/>
        <c:txPr>
          <a:bodyPr/>
          <a:lstStyle/>
          <a:p>
            <a:pPr>
              <a:defRPr b="1"/>
            </a:pPr>
            <a:endParaRPr lang="en-US"/>
          </a:p>
        </c:txPr>
        <c:crossAx val="804383744"/>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Aggravated Assault</a:t>
            </a:r>
          </a:p>
        </c:rich>
      </c:tx>
      <c:overlay val="0"/>
    </c:title>
    <c:autoTitleDeleted val="0"/>
    <c:view3D>
      <c:rotX val="15"/>
      <c:rotY val="20"/>
      <c:depthPercent val="10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clustered"/>
        <c:varyColors val="0"/>
        <c:ser>
          <c:idx val="0"/>
          <c:order val="0"/>
          <c:spPr>
            <a:solidFill>
              <a:srgbClr val="2F14F8"/>
            </a:solidFill>
          </c:spPr>
          <c:invertIfNegative val="0"/>
          <c:dPt>
            <c:idx val="0"/>
            <c:invertIfNegative val="0"/>
            <c:bubble3D val="0"/>
            <c:spPr>
              <a:solidFill>
                <a:schemeClr val="tx1"/>
              </a:solidFill>
            </c:spPr>
          </c:dPt>
          <c:dPt>
            <c:idx val="6"/>
            <c:invertIfNegative val="0"/>
            <c:bubble3D val="0"/>
            <c:spPr>
              <a:solidFill>
                <a:srgbClr val="FF0000"/>
              </a:solidFill>
            </c:spPr>
          </c:dPt>
          <c:dLbls>
            <c:showLegendKey val="0"/>
            <c:showVal val="1"/>
            <c:showCatName val="0"/>
            <c:showSerName val="0"/>
            <c:showPercent val="0"/>
            <c:showBubbleSize val="0"/>
            <c:showLeaderLines val="0"/>
          </c:dLbls>
          <c:cat>
            <c:strRef>
              <c:f>'5 year'!$C$79:$I$79</c:f>
              <c:strCache>
                <c:ptCount val="7"/>
                <c:pt idx="0">
                  <c:v>5Yr Avg.</c:v>
                </c:pt>
                <c:pt idx="1">
                  <c:v>2011</c:v>
                </c:pt>
                <c:pt idx="2">
                  <c:v>2012</c:v>
                </c:pt>
                <c:pt idx="3">
                  <c:v>2013</c:v>
                </c:pt>
                <c:pt idx="4">
                  <c:v>2014</c:v>
                </c:pt>
                <c:pt idx="5">
                  <c:v>2015</c:v>
                </c:pt>
                <c:pt idx="6">
                  <c:v>2016</c:v>
                </c:pt>
              </c:strCache>
            </c:strRef>
          </c:cat>
          <c:val>
            <c:numRef>
              <c:f>'5 year'!$C$92:$I$92</c:f>
              <c:numCache>
                <c:formatCode>General</c:formatCode>
                <c:ptCount val="7"/>
                <c:pt idx="0" formatCode="0">
                  <c:v>65.400000000000006</c:v>
                </c:pt>
                <c:pt idx="1">
                  <c:v>42</c:v>
                </c:pt>
                <c:pt idx="2">
                  <c:v>57</c:v>
                </c:pt>
                <c:pt idx="3">
                  <c:v>84</c:v>
                </c:pt>
                <c:pt idx="4">
                  <c:v>62</c:v>
                </c:pt>
                <c:pt idx="5">
                  <c:v>82</c:v>
                </c:pt>
                <c:pt idx="6">
                  <c:v>68</c:v>
                </c:pt>
              </c:numCache>
            </c:numRef>
          </c:val>
        </c:ser>
        <c:dLbls>
          <c:showLegendKey val="0"/>
          <c:showVal val="0"/>
          <c:showCatName val="0"/>
          <c:showSerName val="0"/>
          <c:showPercent val="0"/>
          <c:showBubbleSize val="0"/>
        </c:dLbls>
        <c:gapWidth val="150"/>
        <c:shape val="box"/>
        <c:axId val="818034176"/>
        <c:axId val="807018496"/>
        <c:axId val="0"/>
      </c:bar3DChart>
      <c:catAx>
        <c:axId val="818034176"/>
        <c:scaling>
          <c:orientation val="minMax"/>
        </c:scaling>
        <c:delete val="0"/>
        <c:axPos val="b"/>
        <c:numFmt formatCode="General" sourceLinked="1"/>
        <c:majorTickMark val="out"/>
        <c:minorTickMark val="none"/>
        <c:tickLblPos val="nextTo"/>
        <c:txPr>
          <a:bodyPr/>
          <a:lstStyle/>
          <a:p>
            <a:pPr>
              <a:defRPr b="1"/>
            </a:pPr>
            <a:endParaRPr lang="en-US"/>
          </a:p>
        </c:txPr>
        <c:crossAx val="807018496"/>
        <c:crosses val="autoZero"/>
        <c:auto val="1"/>
        <c:lblAlgn val="ctr"/>
        <c:lblOffset val="100"/>
        <c:noMultiLvlLbl val="0"/>
      </c:catAx>
      <c:valAx>
        <c:axId val="807018496"/>
        <c:scaling>
          <c:orientation val="minMax"/>
        </c:scaling>
        <c:delete val="0"/>
        <c:axPos val="l"/>
        <c:majorGridlines/>
        <c:numFmt formatCode="0" sourceLinked="1"/>
        <c:majorTickMark val="out"/>
        <c:minorTickMark val="none"/>
        <c:tickLblPos val="nextTo"/>
        <c:spPr>
          <a:noFill/>
        </c:spPr>
        <c:txPr>
          <a:bodyPr/>
          <a:lstStyle/>
          <a:p>
            <a:pPr>
              <a:defRPr b="1"/>
            </a:pPr>
            <a:endParaRPr lang="en-US"/>
          </a:p>
        </c:txPr>
        <c:crossAx val="818034176"/>
        <c:crosses val="autoZero"/>
        <c:crossBetween val="between"/>
      </c:valAx>
      <c:spPr>
        <a:noFill/>
        <a:ln w="25400">
          <a:noFill/>
        </a:ln>
      </c:spPr>
    </c:plotArea>
    <c:plotVisOnly val="1"/>
    <c:dispBlanksAs val="gap"/>
    <c:showDLblsOverMax val="0"/>
  </c:chart>
  <c:spPr>
    <a:solidFill>
      <a:schemeClr val="bg2">
        <a:lumMod val="75000"/>
      </a:schemeClr>
    </a:solidFill>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n-US"/>
              <a:t>24-month</a:t>
            </a:r>
            <a:r>
              <a:rPr lang="en-US" baseline="0"/>
              <a:t> Total Aggravated Assaults</a:t>
            </a:r>
            <a:endParaRPr lang="en-US"/>
          </a:p>
        </c:rich>
      </c:tx>
      <c:overlay val="0"/>
    </c:title>
    <c:autoTitleDeleted val="0"/>
    <c:plotArea>
      <c:layout>
        <c:manualLayout>
          <c:layoutTarget val="inner"/>
          <c:xMode val="edge"/>
          <c:yMode val="edge"/>
          <c:x val="4.5085662759242563E-2"/>
          <c:y val="0.16587678524827437"/>
          <c:w val="0.93597835888187575"/>
          <c:h val="0.55924173312275394"/>
        </c:manualLayout>
      </c:layout>
      <c:lineChart>
        <c:grouping val="standard"/>
        <c:varyColors val="0"/>
        <c:ser>
          <c:idx val="0"/>
          <c:order val="0"/>
          <c:tx>
            <c:v>Aggravated Assault past 24 months</c:v>
          </c:tx>
          <c:trendline>
            <c:trendlineType val="linear"/>
            <c:dispRSqr val="0"/>
            <c:dispEq val="0"/>
          </c:trendline>
          <c:cat>
            <c:strRef>
              <c:f>'5 year'!$Y$15:$Y$38</c:f>
              <c:strCache>
                <c:ptCount val="24"/>
                <c:pt idx="0">
                  <c:v>January-15</c:v>
                </c:pt>
                <c:pt idx="1">
                  <c:v>February</c:v>
                </c:pt>
                <c:pt idx="2">
                  <c:v>March</c:v>
                </c:pt>
                <c:pt idx="3">
                  <c:v>April</c:v>
                </c:pt>
                <c:pt idx="4">
                  <c:v>May</c:v>
                </c:pt>
                <c:pt idx="5">
                  <c:v>June</c:v>
                </c:pt>
                <c:pt idx="6">
                  <c:v>July-15</c:v>
                </c:pt>
                <c:pt idx="7">
                  <c:v>August</c:v>
                </c:pt>
                <c:pt idx="8">
                  <c:v>September</c:v>
                </c:pt>
                <c:pt idx="9">
                  <c:v>October</c:v>
                </c:pt>
                <c:pt idx="10">
                  <c:v>November</c:v>
                </c:pt>
                <c:pt idx="11">
                  <c:v>December</c:v>
                </c:pt>
                <c:pt idx="12">
                  <c:v>January-16</c:v>
                </c:pt>
                <c:pt idx="13">
                  <c:v>February</c:v>
                </c:pt>
                <c:pt idx="14">
                  <c:v>March</c:v>
                </c:pt>
                <c:pt idx="15">
                  <c:v>April</c:v>
                </c:pt>
                <c:pt idx="16">
                  <c:v>May</c:v>
                </c:pt>
                <c:pt idx="17">
                  <c:v>June</c:v>
                </c:pt>
                <c:pt idx="18">
                  <c:v>July-16</c:v>
                </c:pt>
                <c:pt idx="19">
                  <c:v>August</c:v>
                </c:pt>
                <c:pt idx="20">
                  <c:v>September</c:v>
                </c:pt>
                <c:pt idx="21">
                  <c:v>October</c:v>
                </c:pt>
                <c:pt idx="22">
                  <c:v>November</c:v>
                </c:pt>
                <c:pt idx="23">
                  <c:v>December</c:v>
                </c:pt>
              </c:strCache>
            </c:strRef>
          </c:cat>
          <c:val>
            <c:numRef>
              <c:f>('5 year'!$H$80,'5 year'!$H$81,'5 year'!$H$82,'5 year'!$H$83,'5 year'!$H$84,'5 year'!$H$85,'5 year'!$H$86,'5 year'!$H$87,'5 year'!$H$88,'5 year'!$H$89,'5 year'!$H$90,'5 year'!$H$91,'5 year'!$I$80,'5 year'!$I$81,'5 year'!$I$82,'5 year'!$I$83,'5 year'!$I$84,'5 year'!$I$85,'5 year'!$I$86,'5 year'!$I$87,'5 year'!$I$88,'5 year'!$I$89,'5 year'!$I$90,'5 year'!$I$91)</c:f>
              <c:numCache>
                <c:formatCode>General</c:formatCode>
                <c:ptCount val="24"/>
                <c:pt idx="0">
                  <c:v>11</c:v>
                </c:pt>
                <c:pt idx="1">
                  <c:v>6</c:v>
                </c:pt>
                <c:pt idx="2">
                  <c:v>5</c:v>
                </c:pt>
                <c:pt idx="3">
                  <c:v>10</c:v>
                </c:pt>
                <c:pt idx="4">
                  <c:v>8</c:v>
                </c:pt>
                <c:pt idx="5">
                  <c:v>1</c:v>
                </c:pt>
                <c:pt idx="6">
                  <c:v>9</c:v>
                </c:pt>
                <c:pt idx="7">
                  <c:v>7</c:v>
                </c:pt>
                <c:pt idx="8">
                  <c:v>9</c:v>
                </c:pt>
                <c:pt idx="9">
                  <c:v>9</c:v>
                </c:pt>
                <c:pt idx="10">
                  <c:v>3</c:v>
                </c:pt>
                <c:pt idx="11">
                  <c:v>4</c:v>
                </c:pt>
                <c:pt idx="12">
                  <c:v>6</c:v>
                </c:pt>
                <c:pt idx="13">
                  <c:v>2</c:v>
                </c:pt>
                <c:pt idx="14">
                  <c:v>6</c:v>
                </c:pt>
                <c:pt idx="15">
                  <c:v>8</c:v>
                </c:pt>
                <c:pt idx="16">
                  <c:v>8</c:v>
                </c:pt>
                <c:pt idx="17">
                  <c:v>9</c:v>
                </c:pt>
                <c:pt idx="18">
                  <c:v>7</c:v>
                </c:pt>
                <c:pt idx="19">
                  <c:v>5</c:v>
                </c:pt>
                <c:pt idx="20">
                  <c:v>1</c:v>
                </c:pt>
                <c:pt idx="21">
                  <c:v>5</c:v>
                </c:pt>
                <c:pt idx="22">
                  <c:v>7</c:v>
                </c:pt>
                <c:pt idx="23">
                  <c:v>4</c:v>
                </c:pt>
              </c:numCache>
            </c:numRef>
          </c:val>
          <c:smooth val="0"/>
        </c:ser>
        <c:dLbls>
          <c:showLegendKey val="0"/>
          <c:showVal val="0"/>
          <c:showCatName val="0"/>
          <c:showSerName val="0"/>
          <c:showPercent val="0"/>
          <c:showBubbleSize val="0"/>
        </c:dLbls>
        <c:marker val="1"/>
        <c:smooth val="0"/>
        <c:axId val="804381184"/>
        <c:axId val="807020800"/>
      </c:lineChart>
      <c:catAx>
        <c:axId val="804381184"/>
        <c:scaling>
          <c:orientation val="minMax"/>
        </c:scaling>
        <c:delete val="0"/>
        <c:axPos val="b"/>
        <c:numFmt formatCode="[$-409]mmmm\-yy;@" sourceLinked="0"/>
        <c:majorTickMark val="out"/>
        <c:minorTickMark val="none"/>
        <c:tickLblPos val="nextTo"/>
        <c:crossAx val="807020800"/>
        <c:crosses val="autoZero"/>
        <c:auto val="1"/>
        <c:lblAlgn val="ctr"/>
        <c:lblOffset val="100"/>
        <c:noMultiLvlLbl val="0"/>
      </c:catAx>
      <c:valAx>
        <c:axId val="807020800"/>
        <c:scaling>
          <c:orientation val="minMax"/>
        </c:scaling>
        <c:delete val="0"/>
        <c:axPos val="l"/>
        <c:majorGridlines/>
        <c:numFmt formatCode="General" sourceLinked="1"/>
        <c:majorTickMark val="out"/>
        <c:minorTickMark val="none"/>
        <c:tickLblPos val="nextTo"/>
        <c:crossAx val="804381184"/>
        <c:crosses val="autoZero"/>
        <c:crossBetween val="between"/>
      </c:valAx>
      <c:spPr>
        <a:solidFill>
          <a:schemeClr val="bg2"/>
        </a:solidFill>
      </c:spPr>
    </c:plotArea>
    <c:plotVisOnly val="1"/>
    <c:dispBlanksAs val="gap"/>
    <c:showDLblsOverMax val="0"/>
  </c:chart>
  <c:spPr>
    <a:solidFill>
      <a:schemeClr val="bg2">
        <a:lumMod val="75000"/>
      </a:schemeClr>
    </a:solidFill>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189"/>
      <c:rAngAx val="0"/>
      <c:perspective val="30"/>
    </c:view3D>
    <c:floor>
      <c:thickness val="0"/>
    </c:floor>
    <c:sideWall>
      <c:thickness val="0"/>
    </c:sideWall>
    <c:backWall>
      <c:thickness val="0"/>
    </c:backWall>
    <c:plotArea>
      <c:layout>
        <c:manualLayout>
          <c:layoutTarget val="inner"/>
          <c:xMode val="edge"/>
          <c:yMode val="edge"/>
          <c:x val="9.6153941789658068E-2"/>
          <c:y val="0.25487020707297026"/>
          <c:w val="0.7932692307692305"/>
          <c:h val="0.50162338076522006"/>
        </c:manualLayout>
      </c:layout>
      <c:pie3DChart>
        <c:varyColors val="1"/>
        <c:ser>
          <c:idx val="0"/>
          <c:order val="0"/>
          <c:tx>
            <c:v>Type of Assaults</c:v>
          </c:tx>
          <c:explosion val="16"/>
          <c:dPt>
            <c:idx val="0"/>
            <c:bubble3D val="0"/>
            <c:spPr>
              <a:solidFill>
                <a:srgbClr val="00B050"/>
              </a:solidFill>
            </c:spPr>
          </c:dPt>
          <c:dPt>
            <c:idx val="1"/>
            <c:bubble3D val="0"/>
            <c:explosion val="18"/>
            <c:spPr>
              <a:solidFill>
                <a:srgbClr val="FFFF00"/>
              </a:solidFill>
            </c:spPr>
          </c:dPt>
          <c:dPt>
            <c:idx val="2"/>
            <c:bubble3D val="0"/>
            <c:spPr>
              <a:solidFill>
                <a:srgbClr val="FF0000"/>
              </a:solidFill>
            </c:spPr>
          </c:dPt>
          <c:dLbls>
            <c:showLegendKey val="0"/>
            <c:showVal val="0"/>
            <c:showCatName val="0"/>
            <c:showSerName val="0"/>
            <c:showPercent val="1"/>
            <c:showBubbleSize val="0"/>
            <c:showLeaderLines val="1"/>
          </c:dLbls>
          <c:cat>
            <c:strRef>
              <c:f>('5 year'!$B$78:$I$78,'5 year'!$B$127:$I$127,'5 year'!$B$147:$I$147)</c:f>
              <c:strCache>
                <c:ptCount val="3"/>
                <c:pt idx="0">
                  <c:v>Aggravated Assault</c:v>
                </c:pt>
                <c:pt idx="1">
                  <c:v>Domestic Violence</c:v>
                </c:pt>
                <c:pt idx="2">
                  <c:v>Simple Assault</c:v>
                </c:pt>
              </c:strCache>
            </c:strRef>
          </c:cat>
          <c:val>
            <c:numRef>
              <c:f>('5 year'!$I$92,'5 year'!$I$141,'5 year'!$I$161)</c:f>
              <c:numCache>
                <c:formatCode>General</c:formatCode>
                <c:ptCount val="3"/>
                <c:pt idx="0">
                  <c:v>68</c:v>
                </c:pt>
                <c:pt idx="1">
                  <c:v>844</c:v>
                </c:pt>
                <c:pt idx="2">
                  <c:v>905</c:v>
                </c:pt>
              </c:numCache>
            </c:numRef>
          </c:val>
        </c:ser>
        <c:dLbls>
          <c:showLegendKey val="0"/>
          <c:showVal val="0"/>
          <c:showCatName val="0"/>
          <c:showSerName val="0"/>
          <c:showPercent val="0"/>
          <c:showBubbleSize val="0"/>
          <c:showLeaderLines val="1"/>
        </c:dLbls>
      </c:pie3DChart>
      <c:spPr>
        <a:noFill/>
        <a:ln w="25400">
          <a:noFill/>
        </a:ln>
      </c:spPr>
    </c:plotArea>
    <c:legend>
      <c:legendPos val="b"/>
      <c:overlay val="0"/>
      <c:txPr>
        <a:bodyPr/>
        <a:lstStyle/>
        <a:p>
          <a:pPr rtl="0">
            <a:defRPr/>
          </a:pPr>
          <a:endParaRPr lang="en-US"/>
        </a:p>
      </c:txPr>
    </c:legend>
    <c:plotVisOnly val="1"/>
    <c:dispBlanksAs val="zero"/>
    <c:showDLblsOverMax val="0"/>
  </c:chart>
  <c:spPr>
    <a:solidFill>
      <a:schemeClr val="bg2">
        <a:lumMod val="75000"/>
      </a:schemeClr>
    </a:solidFill>
    <a:effectLst/>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006BA-F2D1-4E24-B27B-1A38A12D4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4823</Words>
  <Characters>27495</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Section I</vt:lpstr>
    </vt:vector>
  </TitlesOfParts>
  <Company>City of Gulfport</Company>
  <LinksUpToDate>false</LinksUpToDate>
  <CharactersWithSpaces>32254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I</dc:title>
  <dc:creator>David</dc:creator>
  <cp:lastModifiedBy>Joshua Bromen</cp:lastModifiedBy>
  <cp:revision>2</cp:revision>
  <cp:lastPrinted>2017-02-28T17:08:00Z</cp:lastPrinted>
  <dcterms:created xsi:type="dcterms:W3CDTF">2017-08-15T19:55:00Z</dcterms:created>
  <dcterms:modified xsi:type="dcterms:W3CDTF">2017-08-15T19:55:00Z</dcterms:modified>
</cp:coreProperties>
</file>